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BA9F8">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b/>
          <w:bCs/>
          <w:sz w:val="32"/>
          <w:szCs w:val="32"/>
          <w:lang w:val="en-US" w:eastAsia="zh-CN"/>
        </w:rPr>
      </w:pPr>
      <w:r>
        <w:rPr>
          <w:rFonts w:hint="eastAsia"/>
          <w:b/>
          <w:bCs/>
          <w:sz w:val="32"/>
          <w:szCs w:val="32"/>
          <w:lang w:val="en-US" w:eastAsia="zh-CN"/>
        </w:rPr>
        <w:t>《城市轨道交通线路与站场》课程教案</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0"/>
        <w:gridCol w:w="2812"/>
        <w:gridCol w:w="2582"/>
        <w:gridCol w:w="1048"/>
      </w:tblGrid>
      <w:tr w14:paraId="3A8C8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trPr>
        <w:tc>
          <w:tcPr>
            <w:tcW w:w="2080" w:type="dxa"/>
            <w:vAlign w:val="center"/>
          </w:tcPr>
          <w:p w14:paraId="36D3898F">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授课时间</w:t>
            </w:r>
          </w:p>
        </w:tc>
        <w:tc>
          <w:tcPr>
            <w:tcW w:w="2812" w:type="dxa"/>
            <w:vAlign w:val="center"/>
          </w:tcPr>
          <w:p w14:paraId="06487EAA">
            <w:pPr>
              <w:jc w:val="center"/>
              <w:rPr>
                <w:rFonts w:hint="default" w:asciiTheme="minorEastAsia" w:hAnsiTheme="minorEastAsia" w:eastAsiaTheme="minorEastAsia" w:cstheme="minorEastAsia"/>
                <w:sz w:val="36"/>
                <w:szCs w:val="36"/>
                <w:vertAlign w:val="baseline"/>
                <w:lang w:val="en-US" w:eastAsia="zh-CN"/>
              </w:rPr>
            </w:pPr>
            <w:r>
              <w:rPr>
                <w:rFonts w:hint="eastAsia" w:ascii="仿宋" w:hAnsi="仿宋" w:eastAsia="仿宋" w:cs="仿宋"/>
                <w:sz w:val="24"/>
                <w:szCs w:val="24"/>
                <w:vertAlign w:val="baseline"/>
                <w:lang w:val="en-US" w:eastAsia="zh-CN"/>
              </w:rPr>
              <w:t>10.9至10.15</w:t>
            </w:r>
          </w:p>
        </w:tc>
        <w:tc>
          <w:tcPr>
            <w:tcW w:w="2582" w:type="dxa"/>
            <w:vAlign w:val="center"/>
          </w:tcPr>
          <w:p w14:paraId="5053C9F2">
            <w:pPr>
              <w:jc w:val="center"/>
              <w:rPr>
                <w:rFonts w:hint="eastAsia" w:asciiTheme="minorEastAsia" w:hAnsiTheme="minorEastAsia" w:eastAsiaTheme="minorEastAsia" w:cstheme="minorEastAsia"/>
                <w:sz w:val="36"/>
                <w:szCs w:val="36"/>
                <w:vertAlign w:val="baseline"/>
                <w:lang w:val="en-US" w:eastAsia="zh-CN"/>
              </w:rPr>
            </w:pPr>
            <w:r>
              <w:rPr>
                <w:rFonts w:hint="eastAsia" w:asciiTheme="minorEastAsia" w:hAnsiTheme="minorEastAsia" w:eastAsiaTheme="minorEastAsia" w:cstheme="minorEastAsia"/>
                <w:sz w:val="24"/>
                <w:szCs w:val="24"/>
                <w:vertAlign w:val="baseline"/>
                <w:lang w:val="en-US" w:eastAsia="zh-CN"/>
              </w:rPr>
              <w:t>授课章节</w:t>
            </w:r>
          </w:p>
        </w:tc>
        <w:tc>
          <w:tcPr>
            <w:tcW w:w="1048" w:type="dxa"/>
            <w:vAlign w:val="center"/>
          </w:tcPr>
          <w:p w14:paraId="6CA2D6ED">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模块二</w:t>
            </w:r>
          </w:p>
          <w:p w14:paraId="3497FCDC">
            <w:pPr>
              <w:jc w:val="center"/>
              <w:rPr>
                <w:rFonts w:hint="default" w:asciiTheme="minorEastAsia" w:hAnsiTheme="minorEastAsia" w:eastAsiaTheme="minorEastAsia" w:cstheme="minorEastAsia"/>
                <w:sz w:val="36"/>
                <w:szCs w:val="36"/>
                <w:vertAlign w:val="baseline"/>
                <w:lang w:val="en-US" w:eastAsia="zh-CN"/>
              </w:rPr>
            </w:pPr>
            <w:r>
              <w:rPr>
                <w:rFonts w:hint="eastAsia" w:ascii="仿宋" w:hAnsi="仿宋" w:eastAsia="仿宋" w:cs="仿宋"/>
                <w:sz w:val="24"/>
                <w:szCs w:val="24"/>
                <w:vertAlign w:val="baseline"/>
                <w:lang w:val="en-US" w:eastAsia="zh-CN"/>
              </w:rPr>
              <w:t>任务二</w:t>
            </w:r>
          </w:p>
        </w:tc>
      </w:tr>
      <w:tr w14:paraId="7469E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080" w:type="dxa"/>
            <w:vAlign w:val="center"/>
          </w:tcPr>
          <w:p w14:paraId="7D02D7EF">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授课题目</w:t>
            </w:r>
          </w:p>
        </w:tc>
        <w:tc>
          <w:tcPr>
            <w:tcW w:w="6442" w:type="dxa"/>
            <w:gridSpan w:val="3"/>
            <w:vAlign w:val="center"/>
          </w:tcPr>
          <w:p w14:paraId="66C6708E">
            <w:pPr>
              <w:jc w:val="center"/>
              <w:rPr>
                <w:rFonts w:hint="default" w:eastAsiaTheme="minorEastAsia"/>
                <w:sz w:val="24"/>
                <w:szCs w:val="32"/>
                <w:lang w:val="en-US" w:eastAsia="zh-CN"/>
              </w:rPr>
            </w:pPr>
            <w:r>
              <w:rPr>
                <w:rFonts w:hint="eastAsia"/>
                <w:sz w:val="24"/>
                <w:szCs w:val="32"/>
                <w:lang w:val="en-US" w:eastAsia="zh-CN"/>
              </w:rPr>
              <w:t>直线设计</w:t>
            </w:r>
          </w:p>
        </w:tc>
      </w:tr>
      <w:tr w14:paraId="2BCA1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080" w:type="dxa"/>
            <w:vAlign w:val="center"/>
          </w:tcPr>
          <w:p w14:paraId="49801967">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授课类型</w:t>
            </w:r>
          </w:p>
        </w:tc>
        <w:tc>
          <w:tcPr>
            <w:tcW w:w="6442" w:type="dxa"/>
            <w:gridSpan w:val="3"/>
            <w:vAlign w:val="center"/>
          </w:tcPr>
          <w:p w14:paraId="72300179">
            <w:pPr>
              <w:ind w:firstLine="960" w:firstLineChars="400"/>
              <w:jc w:val="center"/>
              <w:rPr>
                <w:rFonts w:hint="default" w:asciiTheme="minorEastAsia" w:hAnsiTheme="minorEastAsia" w:eastAsiaTheme="minorEastAsia" w:cstheme="minorEastAsia"/>
                <w:sz w:val="36"/>
                <w:szCs w:val="36"/>
                <w:vertAlign w:val="baseline"/>
                <w:lang w:val="en-US" w:eastAsia="zh-CN"/>
              </w:rPr>
            </w:pPr>
            <w:r>
              <w:rPr>
                <w:rFonts w:hint="eastAsia" w:ascii="仿宋" w:hAnsi="仿宋" w:eastAsia="仿宋" w:cs="仿宋"/>
                <w:sz w:val="24"/>
                <w:szCs w:val="24"/>
                <w:vertAlign w:val="baseline"/>
                <w:lang w:val="en-US" w:eastAsia="zh-CN"/>
              </w:rPr>
              <w:t>理论( √ )      实践(   )</w:t>
            </w:r>
          </w:p>
        </w:tc>
      </w:tr>
      <w:tr w14:paraId="5F3B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80" w:type="dxa"/>
            <w:vAlign w:val="center"/>
          </w:tcPr>
          <w:p w14:paraId="58D578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教学目的</w:t>
            </w:r>
          </w:p>
          <w:p w14:paraId="72BEB3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与要求</w:t>
            </w:r>
          </w:p>
        </w:tc>
        <w:tc>
          <w:tcPr>
            <w:tcW w:w="6442" w:type="dxa"/>
            <w:gridSpan w:val="3"/>
            <w:vAlign w:val="center"/>
          </w:tcPr>
          <w:p w14:paraId="129B8B04">
            <w:pPr>
              <w:jc w:val="both"/>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教学目的</w:t>
            </w:r>
            <w:r>
              <w:rPr>
                <w:rFonts w:hint="eastAsia" w:ascii="仿宋" w:hAnsi="仿宋" w:eastAsia="仿宋" w:cs="仿宋"/>
                <w:color w:val="auto"/>
                <w:kern w:val="0"/>
                <w:sz w:val="24"/>
                <w:szCs w:val="24"/>
              </w:rPr>
              <w:t>】</w:t>
            </w:r>
          </w:p>
          <w:p w14:paraId="64730B53">
            <w:pPr>
              <w:numPr>
                <w:ilvl w:val="0"/>
                <w:numId w:val="1"/>
              </w:numPr>
              <w:ind w:left="0" w:leftChars="0" w:firstLine="0" w:firstLineChars="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了解城市轨道交通直线设计的特点，局限性，适用范围；</w:t>
            </w:r>
          </w:p>
          <w:p w14:paraId="237A6520">
            <w:pPr>
              <w:numPr>
                <w:ilvl w:val="0"/>
                <w:numId w:val="1"/>
              </w:numPr>
              <w:ind w:left="0" w:leftChars="0" w:firstLine="0" w:firstLineChars="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掌握夹直线的必要性于最小长度要求；</w:t>
            </w:r>
          </w:p>
          <w:p w14:paraId="24ACF996">
            <w:pPr>
              <w:numPr>
                <w:ilvl w:val="0"/>
                <w:numId w:val="1"/>
              </w:numPr>
              <w:ind w:left="0" w:leftChars="0" w:firstLine="0" w:firstLineChars="0"/>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培养对轨道交通的认同和热爱，培养城市轨道交通线路平面设计的工程师素养。</w:t>
            </w:r>
          </w:p>
          <w:p w14:paraId="1CB25F43">
            <w:pPr>
              <w:jc w:val="both"/>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w:t>
            </w:r>
            <w:r>
              <w:rPr>
                <w:rFonts w:hint="eastAsia" w:ascii="仿宋" w:hAnsi="仿宋" w:eastAsia="仿宋" w:cs="仿宋"/>
                <w:color w:val="auto"/>
                <w:kern w:val="0"/>
                <w:sz w:val="24"/>
                <w:szCs w:val="24"/>
                <w:lang w:val="en-US" w:eastAsia="zh-CN"/>
              </w:rPr>
              <w:t>教学要求</w:t>
            </w:r>
            <w:r>
              <w:rPr>
                <w:rFonts w:hint="eastAsia" w:ascii="仿宋" w:hAnsi="仿宋" w:eastAsia="仿宋" w:cs="仿宋"/>
                <w:color w:val="auto"/>
                <w:kern w:val="0"/>
                <w:sz w:val="24"/>
                <w:szCs w:val="24"/>
              </w:rPr>
              <w:t>】</w:t>
            </w:r>
          </w:p>
          <w:p w14:paraId="0DA878A0">
            <w:pPr>
              <w:numPr>
                <w:ilvl w:val="0"/>
                <w:numId w:val="2"/>
              </w:numPr>
              <w:jc w:val="both"/>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rPr>
              <w:t>采用浅显易懂的语言及举例的方法将晦涩的理论讲解清楚；</w:t>
            </w:r>
          </w:p>
          <w:p w14:paraId="7189D92A">
            <w:pPr>
              <w:numPr>
                <w:ilvl w:val="0"/>
                <w:numId w:val="2"/>
              </w:numPr>
              <w:jc w:val="both"/>
              <w:rPr>
                <w:rFonts w:hint="default" w:ascii="仿宋_GB2312" w:hAnsi="华文仿宋" w:eastAsia="仿宋_GB2312"/>
                <w:color w:val="auto"/>
                <w:kern w:val="0"/>
                <w:sz w:val="24"/>
                <w:szCs w:val="24"/>
                <w:lang w:val="en-US" w:eastAsia="zh-CN"/>
              </w:rPr>
            </w:pPr>
            <w:r>
              <w:rPr>
                <w:rFonts w:hint="eastAsia" w:ascii="仿宋" w:hAnsi="仿宋" w:eastAsia="仿宋" w:cs="仿宋"/>
                <w:color w:val="auto"/>
                <w:kern w:val="0"/>
                <w:sz w:val="24"/>
                <w:szCs w:val="24"/>
                <w:lang w:val="en-US" w:eastAsia="zh-CN"/>
              </w:rPr>
              <w:t>通过图片、视频方式增加学生的学习兴趣，加深对概念原理的直观理解。</w:t>
            </w:r>
          </w:p>
        </w:tc>
      </w:tr>
      <w:tr w14:paraId="706B8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080" w:type="dxa"/>
            <w:vAlign w:val="center"/>
          </w:tcPr>
          <w:p w14:paraId="5E38EAE5">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教学重点</w:t>
            </w:r>
          </w:p>
        </w:tc>
        <w:tc>
          <w:tcPr>
            <w:tcW w:w="6442" w:type="dxa"/>
            <w:gridSpan w:val="3"/>
            <w:vAlign w:val="center"/>
          </w:tcPr>
          <w:p w14:paraId="1DA2D93A">
            <w:pPr>
              <w:numPr>
                <w:ilvl w:val="0"/>
                <w:numId w:val="3"/>
              </w:numPr>
              <w:ind w:leftChars="0"/>
              <w:jc w:val="both"/>
              <w:rPr>
                <w:rFonts w:hint="default" w:ascii="仿宋" w:hAnsi="仿宋" w:eastAsia="仿宋" w:cs="仿宋"/>
                <w:sz w:val="24"/>
                <w:szCs w:val="24"/>
                <w:vertAlign w:val="baseline"/>
                <w:lang w:val="en-US" w:eastAsia="zh-CN"/>
              </w:rPr>
            </w:pPr>
            <w:r>
              <w:rPr>
                <w:rFonts w:hint="eastAsia" w:ascii="仿宋" w:hAnsi="仿宋" w:eastAsia="仿宋" w:cs="仿宋"/>
                <w:color w:val="auto"/>
                <w:kern w:val="0"/>
                <w:sz w:val="24"/>
                <w:szCs w:val="24"/>
                <w:lang w:val="en-US" w:eastAsia="zh-CN"/>
              </w:rPr>
              <w:t>了解城市轨道交通直线设计的特点，局限性，适用范围；</w:t>
            </w:r>
          </w:p>
          <w:p w14:paraId="4C4CEFEE">
            <w:pPr>
              <w:numPr>
                <w:ilvl w:val="0"/>
                <w:numId w:val="3"/>
              </w:numPr>
              <w:ind w:leftChars="0"/>
              <w:jc w:val="both"/>
              <w:rPr>
                <w:rFonts w:hint="default" w:ascii="仿宋" w:hAnsi="仿宋" w:eastAsia="仿宋" w:cs="仿宋"/>
                <w:sz w:val="24"/>
                <w:szCs w:val="24"/>
                <w:vertAlign w:val="baseline"/>
                <w:lang w:val="en-US" w:eastAsia="zh-CN"/>
              </w:rPr>
            </w:pPr>
            <w:r>
              <w:rPr>
                <w:rFonts w:hint="eastAsia" w:ascii="仿宋" w:hAnsi="仿宋" w:eastAsia="仿宋" w:cs="仿宋"/>
                <w:color w:val="auto"/>
                <w:kern w:val="0"/>
                <w:sz w:val="24"/>
                <w:szCs w:val="24"/>
                <w:lang w:val="en-US" w:eastAsia="zh-CN"/>
              </w:rPr>
              <w:t>掌握夹直线的必要性于最小长度要求。</w:t>
            </w:r>
          </w:p>
        </w:tc>
      </w:tr>
      <w:tr w14:paraId="3F588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2080" w:type="dxa"/>
            <w:vAlign w:val="center"/>
          </w:tcPr>
          <w:p w14:paraId="3D010657">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教学难点</w:t>
            </w:r>
          </w:p>
        </w:tc>
        <w:tc>
          <w:tcPr>
            <w:tcW w:w="6442" w:type="dxa"/>
            <w:gridSpan w:val="3"/>
            <w:vAlign w:val="center"/>
          </w:tcPr>
          <w:p w14:paraId="0DDE9B6C">
            <w:pPr>
              <w:jc w:val="both"/>
              <w:rPr>
                <w:rFonts w:hint="default" w:asciiTheme="minorEastAsia" w:hAnsiTheme="minorEastAsia" w:eastAsiaTheme="minorEastAsia" w:cstheme="minorEastAsia"/>
                <w:sz w:val="24"/>
                <w:szCs w:val="24"/>
                <w:vertAlign w:val="baseline"/>
                <w:lang w:val="en-US" w:eastAsia="zh-CN"/>
              </w:rPr>
            </w:pPr>
            <w:r>
              <w:rPr>
                <w:rFonts w:hint="eastAsia" w:asciiTheme="minorEastAsia" w:hAnsiTheme="minorEastAsia" w:cstheme="minorEastAsia"/>
                <w:sz w:val="24"/>
                <w:szCs w:val="24"/>
                <w:vertAlign w:val="baseline"/>
                <w:lang w:val="en-US" w:eastAsia="zh-CN"/>
              </w:rPr>
              <w:t>无</w:t>
            </w:r>
          </w:p>
        </w:tc>
      </w:tr>
      <w:tr w14:paraId="1F42F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2080" w:type="dxa"/>
            <w:vAlign w:val="center"/>
          </w:tcPr>
          <w:p w14:paraId="6183F610">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教学方法</w:t>
            </w:r>
          </w:p>
        </w:tc>
        <w:tc>
          <w:tcPr>
            <w:tcW w:w="6442" w:type="dxa"/>
            <w:gridSpan w:val="3"/>
            <w:vAlign w:val="center"/>
          </w:tcPr>
          <w:p w14:paraId="7E107AF5">
            <w:pPr>
              <w:jc w:val="center"/>
              <w:rPr>
                <w:rFonts w:hint="default" w:asciiTheme="minorEastAsia" w:hAnsiTheme="minorEastAsia" w:eastAsiaTheme="minorEastAsia" w:cstheme="minorEastAsia"/>
                <w:sz w:val="36"/>
                <w:szCs w:val="36"/>
                <w:vertAlign w:val="baseline"/>
                <w:lang w:val="en-US" w:eastAsia="zh-CN"/>
              </w:rPr>
            </w:pPr>
            <w:r>
              <w:rPr>
                <w:rFonts w:hint="eastAsia" w:ascii="仿宋" w:hAnsi="仿宋" w:eastAsia="仿宋" w:cs="仿宋"/>
                <w:sz w:val="24"/>
                <w:szCs w:val="24"/>
              </w:rPr>
              <w:t>讲授法</w:t>
            </w:r>
          </w:p>
        </w:tc>
      </w:tr>
      <w:tr w14:paraId="1A0C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80" w:type="dxa"/>
            <w:vAlign w:val="center"/>
          </w:tcPr>
          <w:p w14:paraId="3DD79A7A">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教具仪器</w:t>
            </w:r>
          </w:p>
        </w:tc>
        <w:tc>
          <w:tcPr>
            <w:tcW w:w="6442" w:type="dxa"/>
            <w:gridSpan w:val="3"/>
            <w:vAlign w:val="center"/>
          </w:tcPr>
          <w:p w14:paraId="44D16938">
            <w:pPr>
              <w:jc w:val="center"/>
              <w:rPr>
                <w:rFonts w:hint="eastAsia" w:eastAsia="仿宋" w:asciiTheme="minorEastAsia" w:hAnsiTheme="minorEastAsia" w:cstheme="minorEastAsia"/>
                <w:sz w:val="36"/>
                <w:szCs w:val="36"/>
                <w:vertAlign w:val="baseline"/>
                <w:lang w:val="en-US" w:eastAsia="zh-CN"/>
              </w:rPr>
            </w:pPr>
            <w:r>
              <w:rPr>
                <w:rFonts w:hint="eastAsia" w:ascii="仿宋" w:hAnsi="仿宋" w:eastAsia="仿宋" w:cs="仿宋"/>
                <w:sz w:val="24"/>
                <w:szCs w:val="24"/>
              </w:rPr>
              <w:t>多媒体</w:t>
            </w:r>
            <w:r>
              <w:rPr>
                <w:rFonts w:hint="eastAsia" w:ascii="仿宋" w:hAnsi="仿宋" w:eastAsia="仿宋" w:cs="仿宋"/>
                <w:sz w:val="24"/>
                <w:szCs w:val="24"/>
                <w:lang w:val="en-US" w:eastAsia="zh-CN"/>
              </w:rPr>
              <w:t>设备</w:t>
            </w:r>
          </w:p>
        </w:tc>
      </w:tr>
      <w:tr w14:paraId="3931E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2080" w:type="dxa"/>
            <w:vAlign w:val="center"/>
          </w:tcPr>
          <w:p w14:paraId="574BA5FF">
            <w:pPr>
              <w:jc w:val="center"/>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教学设计</w:t>
            </w:r>
          </w:p>
        </w:tc>
        <w:tc>
          <w:tcPr>
            <w:tcW w:w="6442" w:type="dxa"/>
            <w:gridSpan w:val="3"/>
            <w:vAlign w:val="center"/>
          </w:tcPr>
          <w:p w14:paraId="616B130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课堂教学5环节：</w:t>
            </w:r>
          </w:p>
          <w:p w14:paraId="2D65063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楷体" w:hAnsi="楷体" w:eastAsia="楷体" w:cs="楷体"/>
                <w:sz w:val="24"/>
                <w:szCs w:val="32"/>
                <w:lang w:val="en-US" w:eastAsia="zh-CN"/>
              </w:rPr>
            </w:pPr>
            <w:r>
              <w:rPr>
                <w:rFonts w:hint="eastAsia" w:ascii="仿宋" w:hAnsi="仿宋" w:eastAsia="仿宋" w:cs="仿宋"/>
                <w:sz w:val="24"/>
                <w:szCs w:val="32"/>
                <w:lang w:val="en-US" w:eastAsia="zh-CN"/>
              </w:rPr>
              <w:t>Ⅰ.复习提问</w:t>
            </w:r>
          </w:p>
          <w:p w14:paraId="026D442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通过回答模块二任务一的“任务实施”，巩固任务一的主要内容，同时，回顾平面基本线形图。</w:t>
            </w:r>
          </w:p>
          <w:p w14:paraId="328565D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Ⅱ.引入课题</w:t>
            </w:r>
          </w:p>
          <w:p w14:paraId="7DCF17D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请同学读【情景引入】</w:t>
            </w:r>
          </w:p>
          <w:p w14:paraId="31CA317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Ⅲ.讲授课题</w:t>
            </w:r>
          </w:p>
          <w:p w14:paraId="278D5A61">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楷体" w:hAnsi="楷体" w:eastAsia="楷体" w:cs="楷体"/>
                <w:sz w:val="24"/>
                <w:szCs w:val="32"/>
                <w:lang w:val="en-US" w:eastAsia="zh-CN"/>
              </w:rPr>
            </w:pPr>
            <w:r>
              <w:rPr>
                <w:rFonts w:hint="eastAsia" w:ascii="仿宋" w:hAnsi="仿宋" w:eastAsia="仿宋" w:cs="仿宋"/>
                <w:sz w:val="24"/>
                <w:szCs w:val="32"/>
                <w:lang w:val="en-US" w:eastAsia="zh-CN"/>
              </w:rPr>
              <w:t>直线设计的特点</w:t>
            </w:r>
          </w:p>
          <w:p w14:paraId="05796E18">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直线的影响因素</w:t>
            </w:r>
          </w:p>
          <w:p w14:paraId="62CB9EE1">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直线的适用条件</w:t>
            </w:r>
          </w:p>
          <w:p w14:paraId="5E873A72">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夹直线的设计</w:t>
            </w:r>
          </w:p>
          <w:p w14:paraId="7946B865">
            <w:pPr>
              <w:keepNext w:val="0"/>
              <w:keepLines w:val="0"/>
              <w:widowControl/>
              <w:numPr>
                <w:ilvl w:val="1"/>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夹直线的定义</w:t>
            </w:r>
          </w:p>
          <w:p w14:paraId="119170B1">
            <w:pPr>
              <w:keepNext w:val="0"/>
              <w:keepLines w:val="0"/>
              <w:widowControl/>
              <w:numPr>
                <w:ilvl w:val="1"/>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夹直线的长度</w:t>
            </w:r>
          </w:p>
          <w:p w14:paraId="6E02B3D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Ⅳ.总结归纳</w:t>
            </w:r>
          </w:p>
          <w:p w14:paraId="49A6205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楷体" w:hAnsi="楷体" w:eastAsia="楷体" w:cs="楷体"/>
                <w:sz w:val="24"/>
                <w:szCs w:val="32"/>
                <w:lang w:val="en-US" w:eastAsia="zh-CN"/>
              </w:rPr>
            </w:pPr>
            <w:r>
              <w:rPr>
                <w:rFonts w:hint="eastAsia" w:ascii="楷体" w:hAnsi="楷体" w:eastAsia="楷体" w:cs="楷体"/>
                <w:sz w:val="24"/>
                <w:szCs w:val="32"/>
                <w:lang w:val="en-US" w:eastAsia="zh-CN"/>
              </w:rPr>
              <w:t>适度总结</w:t>
            </w:r>
          </w:p>
          <w:p w14:paraId="3F18E99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sz w:val="24"/>
                <w:szCs w:val="32"/>
                <w:lang w:val="en-US" w:eastAsia="zh-CN"/>
              </w:rPr>
            </w:pPr>
            <w:r>
              <w:rPr>
                <w:rFonts w:hint="eastAsia" w:ascii="仿宋" w:hAnsi="仿宋" w:eastAsia="仿宋" w:cs="仿宋"/>
                <w:sz w:val="24"/>
                <w:szCs w:val="32"/>
                <w:lang w:val="en-US" w:eastAsia="zh-CN"/>
              </w:rPr>
              <w:t>Ⅴ.课后作业</w:t>
            </w:r>
          </w:p>
          <w:p w14:paraId="69B60A1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sz w:val="24"/>
                <w:szCs w:val="32"/>
                <w:lang w:val="en-US" w:eastAsia="zh-CN"/>
              </w:rPr>
            </w:pPr>
            <w:r>
              <w:rPr>
                <w:rFonts w:hint="eastAsia" w:ascii="楷体" w:hAnsi="楷体" w:eastAsia="楷体" w:cs="楷体"/>
                <w:sz w:val="24"/>
                <w:szCs w:val="32"/>
                <w:lang w:val="en-US" w:eastAsia="zh-CN"/>
              </w:rPr>
              <w:t>思考任务P47任务自测</w:t>
            </w:r>
          </w:p>
        </w:tc>
      </w:tr>
      <w:tr w14:paraId="58DE7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522" w:type="dxa"/>
            <w:gridSpan w:val="4"/>
            <w:tcBorders>
              <w:bottom w:val="single" w:color="auto" w:sz="4" w:space="0"/>
            </w:tcBorders>
            <w:vAlign w:val="center"/>
          </w:tcPr>
          <w:p w14:paraId="08616E64">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sz w:val="36"/>
                <w:szCs w:val="36"/>
                <w:vertAlign w:val="baseline"/>
                <w:lang w:val="en-US" w:eastAsia="zh-CN"/>
              </w:rPr>
            </w:pPr>
            <w:r>
              <w:rPr>
                <w:rFonts w:hint="eastAsia" w:asciiTheme="minorEastAsia" w:hAnsiTheme="minorEastAsia" w:eastAsiaTheme="minorEastAsia" w:cstheme="minorEastAsia"/>
                <w:sz w:val="24"/>
                <w:szCs w:val="24"/>
                <w:vertAlign w:val="baseline"/>
                <w:lang w:val="en-US" w:eastAsia="zh-CN"/>
              </w:rPr>
              <w:t>教</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学</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过</w:t>
            </w: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程</w:t>
            </w:r>
          </w:p>
        </w:tc>
      </w:tr>
      <w:tr w14:paraId="43D2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474" w:type="dxa"/>
            <w:gridSpan w:val="3"/>
            <w:vMerge w:val="restart"/>
            <w:tcBorders>
              <w:top w:val="single" w:color="auto" w:sz="4" w:space="0"/>
              <w:left w:val="single" w:color="auto" w:sz="4" w:space="0"/>
              <w:bottom w:val="single" w:color="auto" w:sz="4" w:space="0"/>
            </w:tcBorders>
            <w:vAlign w:val="center"/>
          </w:tcPr>
          <w:p w14:paraId="2DA9529D">
            <w:pPr>
              <w:keepNext w:val="0"/>
              <w:keepLines w:val="0"/>
              <w:pageBreakBefore w:val="0"/>
              <w:widowControl w:val="0"/>
              <w:numPr>
                <w:ilvl w:val="0"/>
                <w:numId w:val="0"/>
              </w:numPr>
              <w:kinsoku/>
              <w:wordWrap/>
              <w:overflowPunct/>
              <w:topLinePunct w:val="0"/>
              <w:autoSpaceDE/>
              <w:autoSpaceDN/>
              <w:bidi w:val="0"/>
              <w:adjustRightInd/>
              <w:snapToGrid/>
              <w:spacing w:line="240" w:lineRule="atLeast"/>
              <w:jc w:val="both"/>
              <w:textAlignment w:val="auto"/>
              <w:rPr>
                <w:rFonts w:hint="default"/>
                <w:sz w:val="28"/>
                <w:szCs w:val="36"/>
                <w:lang w:val="en-US" w:eastAsia="zh-CN"/>
              </w:rPr>
            </w:pPr>
            <w:r>
              <w:rPr>
                <w:rFonts w:hint="eastAsia" w:ascii="仿宋" w:hAnsi="仿宋" w:eastAsia="仿宋" w:cs="仿宋"/>
                <w:sz w:val="28"/>
                <w:szCs w:val="36"/>
                <w:lang w:val="en-US" w:eastAsia="zh-CN"/>
              </w:rPr>
              <w:t>Ⅰ.复习提问</w:t>
            </w:r>
          </w:p>
          <w:p w14:paraId="20ABDA2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回答模块二任务一的【任务实施】</w:t>
            </w:r>
          </w:p>
          <w:p w14:paraId="1E55ADD8">
            <w:pPr>
              <w:keepNext w:val="0"/>
              <w:keepLines w:val="0"/>
              <w:pageBreakBefore w:val="0"/>
              <w:widowControl w:val="0"/>
              <w:numPr>
                <w:ilvl w:val="0"/>
                <w:numId w:val="5"/>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说明各线路敷设方式的优缺点</w:t>
            </w:r>
          </w:p>
          <w:p w14:paraId="1AE087F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（1）地下线</w:t>
            </w:r>
          </w:p>
          <w:p w14:paraId="687A146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优点：对地面交通干扰小；环境影响较少；选线灵活性高</w:t>
            </w:r>
          </w:p>
          <w:p w14:paraId="2FDA460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缺点：造价高；施工周期长；固定性高</w:t>
            </w:r>
          </w:p>
          <w:p w14:paraId="34473E6E">
            <w:pPr>
              <w:keepNext w:val="0"/>
              <w:keepLines w:val="0"/>
              <w:pageBreakBefore w:val="0"/>
              <w:widowControl w:val="0"/>
              <w:numPr>
                <w:ilvl w:val="0"/>
                <w:numId w:val="6"/>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地面线</w:t>
            </w:r>
          </w:p>
          <w:p w14:paraId="7FC829C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优点：土建工程造价低</w:t>
            </w:r>
          </w:p>
          <w:p w14:paraId="57C69EEB">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缺点：隔断线路两侧的交通；运营噪声大；碎石道床养护维修工作量大</w:t>
            </w:r>
          </w:p>
          <w:p w14:paraId="6573FE88">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高架线</w:t>
            </w:r>
          </w:p>
          <w:p w14:paraId="055EB5D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优点：充分利用高空空间</w:t>
            </w:r>
          </w:p>
          <w:p w14:paraId="2251348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缺点：运营噪声大；影响城市景观。</w:t>
            </w:r>
          </w:p>
          <w:p w14:paraId="1174F602">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轨道交通线路中线如何确定？</w:t>
            </w:r>
          </w:p>
          <w:p w14:paraId="3BC3546E">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以路基横断面上距外轨半个轨距的铅垂线与路基水平线的交点在纵向上的连线表示。在纵断面上，线路中心线的高程为路基高程。</w:t>
            </w:r>
          </w:p>
          <w:p w14:paraId="16EC1E6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（两股钢轨中垂线与路肩水平线的交点在纵向上的连线。）</w:t>
            </w:r>
          </w:p>
          <w:p w14:paraId="4D786BC3">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一条城市地铁的线路中线应该有几条？</w:t>
            </w:r>
          </w:p>
          <w:p w14:paraId="33C5AC93">
            <w:pPr>
              <w:keepNext w:val="0"/>
              <w:keepLines w:val="0"/>
              <w:pageBreakBefore w:val="0"/>
              <w:widowControl w:val="0"/>
              <w:numPr>
                <w:ilvl w:val="0"/>
                <w:numId w:val="7"/>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上行和下行。</w:t>
            </w:r>
          </w:p>
          <w:p w14:paraId="36101ED9">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为了满足列车运行轨迹，设计的线路应满足什么条件?</w:t>
            </w:r>
          </w:p>
          <w:p w14:paraId="2CF5BA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连续，曲率是连续的，曲率对里程或时间的变化率是联系的。</w:t>
            </w:r>
          </w:p>
          <w:p w14:paraId="4DA9224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Ⅱ.引入课题</w:t>
            </w:r>
          </w:p>
          <w:p w14:paraId="113BAAE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both"/>
              <w:textAlignment w:val="auto"/>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请同学读【情景引入】</w:t>
            </w:r>
          </w:p>
          <w:p w14:paraId="62121F8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Ⅲ.课题讲授</w:t>
            </w:r>
          </w:p>
          <w:p w14:paraId="2616D57E">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直线设计的特点</w:t>
            </w:r>
          </w:p>
          <w:p w14:paraId="3B52304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①直线距离最短，列车在直线上运行节省路程；</w:t>
            </w:r>
          </w:p>
          <w:p w14:paraId="2085EA5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②直线上受力简单，轮轨摩擦也最小，运营条件好；</w:t>
            </w:r>
          </w:p>
          <w:p w14:paraId="7EB872A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default" w:ascii="仿宋" w:hAnsi="仿宋" w:eastAsia="仿宋" w:cs="仿宋"/>
                <w:sz w:val="24"/>
                <w:szCs w:val="32"/>
                <w:lang w:val="en-US" w:eastAsia="zh-CN"/>
              </w:rPr>
            </w:pPr>
            <w:r>
              <w:rPr>
                <w:rFonts w:hint="eastAsia" w:ascii="仿宋" w:hAnsi="仿宋" w:eastAsia="仿宋" w:cs="仿宋"/>
                <w:sz w:val="24"/>
                <w:szCs w:val="32"/>
                <w:lang w:val="en-US" w:eastAsia="zh-CN"/>
              </w:rPr>
              <w:t>③容易设计和测量，是选线人员优先选用的。</w:t>
            </w:r>
          </w:p>
          <w:p w14:paraId="1935D026">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直线的影响因素</w:t>
            </w:r>
          </w:p>
          <w:p w14:paraId="68525D18">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在城市老城区，轨道交通线路多以地下线路为主，选用直线时要避开地面建筑和历史文物保护建筑等区域，因此直线长度会受限制。</w:t>
            </w:r>
          </w:p>
          <w:p w14:paraId="1C781D20">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在城市新区，轨道交通线路可以采用高架线，但高架线可选自由度小，一般与城市主干道平行，此时，尽量采用直线。</w:t>
            </w:r>
          </w:p>
          <w:p w14:paraId="2E14BBB0">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在城市郊区，可以采用地面线。选择直线时，要考虑避开地质不良地段。</w:t>
            </w:r>
            <w:r>
              <w:rPr>
                <w:rFonts w:hint="eastAsia" w:ascii="仿宋" w:hAnsi="仿宋" w:eastAsia="仿宋" w:cs="仿宋"/>
                <w:sz w:val="24"/>
                <w:szCs w:val="32"/>
                <w:lang w:val="en-US" w:eastAsia="zh-CN"/>
              </w:rPr>
              <w:t>在地形起伏较大的地区，地面线直线线形难与地形相协调，容易出现高填深挖路基。</w:t>
            </w:r>
          </w:p>
          <w:p w14:paraId="60A7A92E">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直线的适用条件</w:t>
            </w:r>
          </w:p>
          <w:p w14:paraId="0BA7966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（1）市郊或规划方正的区域等以直线为主体的地区；</w:t>
            </w:r>
          </w:p>
          <w:p w14:paraId="7784DB1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（2）为争取良好行车和通视条件的车站区间；</w:t>
            </w:r>
          </w:p>
          <w:p w14:paraId="3530808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（3）沿平行主干道布设的线路；</w:t>
            </w:r>
          </w:p>
          <w:p w14:paraId="799D90A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（4）相邻曲线间，应布设足够长的直线以保持行车的平顺性和旅客舒适性。</w:t>
            </w:r>
          </w:p>
          <w:p w14:paraId="234037B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4、夹直线的设计</w:t>
            </w:r>
          </w:p>
          <w:p w14:paraId="169762C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4.1 夹直线的定义</w:t>
            </w:r>
          </w:p>
          <w:p w14:paraId="334B48B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在遇到地形地物等局限时，必然要设置交点，在交点处设计曲线绕避障碍物，为了保持轨道交通线路的连续性和列车运行要求，相邻曲线之间应有一定长度的直线段。</w:t>
            </w:r>
          </w:p>
          <w:p w14:paraId="586AF2D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该直线即为夹直线。</w:t>
            </w:r>
          </w:p>
          <w:p w14:paraId="7EDBB78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pPr>
            <w:r>
              <w:drawing>
                <wp:inline distT="0" distB="0" distL="114300" distR="114300">
                  <wp:extent cx="3970655" cy="2071370"/>
                  <wp:effectExtent l="0" t="0" r="10795" b="5080"/>
                  <wp:docPr id="1026" name="Picture 2" descr="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2-9"/>
                          <pic:cNvPicPr>
                            <a:picLocks noChangeAspect="1" noChangeArrowheads="1"/>
                          </pic:cNvPicPr>
                        </pic:nvPicPr>
                        <pic:blipFill>
                          <a:blip r:embed="rId6" cstate="print">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a:xfrm>
                            <a:off x="0" y="0"/>
                            <a:ext cx="3970655" cy="2071370"/>
                          </a:xfrm>
                          <a:prstGeom prst="rect">
                            <a:avLst/>
                          </a:prstGeom>
                          <a:noFill/>
                          <a:ln>
                            <a:noFill/>
                          </a:ln>
                        </pic:spPr>
                      </pic:pic>
                    </a:graphicData>
                  </a:graphic>
                </wp:inline>
              </w:drawing>
            </w:r>
          </w:p>
          <w:p w14:paraId="0846F00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夹直线的起点为前一曲线的终点，终点为后一曲线的起点。</w:t>
            </w:r>
          </w:p>
          <w:p w14:paraId="571DE039">
            <w:pPr>
              <w:keepNext w:val="0"/>
              <w:keepLines w:val="0"/>
              <w:widowControl/>
              <w:numPr>
                <w:ilvl w:val="1"/>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0" w:leftChars="0" w:right="0" w:rightChars="0" w:firstLine="0" w:firstLine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夹直线的长度</w:t>
            </w:r>
          </w:p>
          <w:p w14:paraId="37BB7C8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夹直线长度应尽量长一些，为车辆运行和运营提供有利</w:t>
            </w:r>
          </w:p>
          <w:p w14:paraId="61024C3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条件。在某些区域为了减少工程量，可以设置较短的夹</w:t>
            </w:r>
          </w:p>
          <w:p w14:paraId="4A3AFC8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直线，但是夹直线长度应满足以下条件：</w:t>
            </w:r>
          </w:p>
          <w:p w14:paraId="0B3F926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（1）列车通过相邻曲线，需频繁转换方向，车轮对钢轨的横向推力加大，轮轨磨耗加重，夹直线位置不易保持。一般要求夹直线长度不宜短于2—3钢轨长.</w:t>
            </w:r>
          </w:p>
          <w:p w14:paraId="23829FC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（2）列车通过相邻曲线，因外轨超高和曲线加宽的变化会引起车辆横向摇摆导致行车不平顺。一般要求夹直线长度不宜短于1—3节客车长度。</w:t>
            </w:r>
          </w:p>
          <w:p w14:paraId="32ECB39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rPr>
                <w:rFonts w:hint="default" w:ascii="仿宋" w:hAnsi="仿宋" w:eastAsia="仿宋" w:cs="仿宋"/>
                <w:sz w:val="24"/>
                <w:szCs w:val="32"/>
                <w:lang w:val="en-US" w:eastAsia="zh-CN"/>
              </w:rPr>
              <w:t>（3）列车通过相邻曲线，当跨越夹直线前后的缓直点和直缓点时，会引起车辆的振动，影响旅客舒适性。一般要求夹直线长度满足表要求：</w:t>
            </w:r>
          </w:p>
          <w:p w14:paraId="650876D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leftChars="0" w:right="0" w:rightChars="0"/>
              <w:jc w:val="both"/>
              <w:rPr>
                <w:rFonts w:hint="default" w:ascii="仿宋" w:hAnsi="仿宋" w:eastAsia="仿宋" w:cs="仿宋"/>
                <w:sz w:val="24"/>
                <w:szCs w:val="32"/>
                <w:lang w:val="en-US" w:eastAsia="zh-CN"/>
              </w:rPr>
            </w:pPr>
            <w:r>
              <w:drawing>
                <wp:inline distT="0" distB="0" distL="114300" distR="114300">
                  <wp:extent cx="5055870" cy="735330"/>
                  <wp:effectExtent l="0" t="0" r="11430" b="762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7"/>
                          <a:stretch>
                            <a:fillRect/>
                          </a:stretch>
                        </pic:blipFill>
                        <pic:spPr>
                          <a:xfrm>
                            <a:off x="0" y="0"/>
                            <a:ext cx="5055870" cy="735330"/>
                          </a:xfrm>
                          <a:prstGeom prst="rect">
                            <a:avLst/>
                          </a:prstGeom>
                          <a:noFill/>
                          <a:ln>
                            <a:noFill/>
                          </a:ln>
                        </pic:spPr>
                      </pic:pic>
                    </a:graphicData>
                  </a:graphic>
                </wp:inline>
              </w:drawing>
            </w:r>
          </w:p>
          <w:p w14:paraId="3CCA14A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Ⅳ.总结归纳</w:t>
            </w:r>
          </w:p>
          <w:p w14:paraId="055D2AB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适度总结</w:t>
            </w:r>
          </w:p>
          <w:p w14:paraId="408AC49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4"/>
                <w:szCs w:val="32"/>
                <w:lang w:val="en-US" w:eastAsia="zh-CN"/>
              </w:rPr>
            </w:pPr>
          </w:p>
          <w:p w14:paraId="0A7CCBB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4" w:lineRule="atLeast"/>
              <w:ind w:right="0" w:rightChars="0"/>
              <w:jc w:val="both"/>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Ⅴ.课后作业</w:t>
            </w:r>
          </w:p>
          <w:p w14:paraId="131AA0EA">
            <w:pPr>
              <w:numPr>
                <w:ilvl w:val="0"/>
                <w:numId w:val="0"/>
              </w:numPr>
              <w:ind w:leftChars="0"/>
              <w:jc w:val="both"/>
              <w:rPr>
                <w:rFonts w:hint="default" w:ascii="仿宋" w:hAnsi="仿宋" w:eastAsia="仿宋" w:cs="仿宋"/>
                <w:sz w:val="24"/>
                <w:szCs w:val="24"/>
                <w:lang w:val="en-US" w:eastAsia="zh-CN"/>
              </w:rPr>
            </w:pPr>
            <w:r>
              <w:rPr>
                <w:rFonts w:hint="eastAsia" w:ascii="楷体" w:hAnsi="楷体" w:eastAsia="楷体" w:cs="楷体"/>
                <w:sz w:val="24"/>
                <w:szCs w:val="32"/>
                <w:lang w:val="en-US" w:eastAsia="zh-CN"/>
              </w:rPr>
              <w:t>思考p47的任务自测</w:t>
            </w:r>
          </w:p>
        </w:tc>
        <w:tc>
          <w:tcPr>
            <w:tcW w:w="1048" w:type="dxa"/>
            <w:tcBorders>
              <w:top w:val="single" w:color="auto" w:sz="4" w:space="0"/>
              <w:bottom w:val="single" w:color="auto" w:sz="4" w:space="0"/>
              <w:right w:val="single" w:color="auto" w:sz="4" w:space="0"/>
            </w:tcBorders>
            <w:vAlign w:val="center"/>
          </w:tcPr>
          <w:p w14:paraId="6052EBF1">
            <w:pPr>
              <w:jc w:val="center"/>
              <w:rPr>
                <w:rFonts w:hint="default" w:asciiTheme="minorEastAsia" w:hAnsiTheme="minorEastAsia" w:eastAsiaTheme="minorEastAsia" w:cstheme="minorEastAsia"/>
                <w:sz w:val="36"/>
                <w:szCs w:val="36"/>
                <w:vertAlign w:val="baseline"/>
                <w:lang w:val="en-US" w:eastAsia="zh-CN"/>
              </w:rPr>
            </w:pPr>
            <w:r>
              <w:rPr>
                <w:rFonts w:hint="eastAsia" w:asciiTheme="minorEastAsia" w:hAnsiTheme="minorEastAsia" w:cstheme="minorEastAsia"/>
                <w:sz w:val="24"/>
                <w:szCs w:val="24"/>
                <w:vertAlign w:val="baseline"/>
                <w:lang w:val="en-US" w:eastAsia="zh-CN"/>
              </w:rPr>
              <w:t>教学备注</w:t>
            </w:r>
          </w:p>
        </w:tc>
      </w:tr>
      <w:tr w14:paraId="751D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7474" w:type="dxa"/>
            <w:gridSpan w:val="3"/>
            <w:vMerge w:val="continue"/>
            <w:tcBorders>
              <w:top w:val="single" w:color="auto" w:sz="4" w:space="0"/>
              <w:left w:val="single" w:color="auto" w:sz="4" w:space="0"/>
            </w:tcBorders>
            <w:vAlign w:val="center"/>
          </w:tcPr>
          <w:p w14:paraId="77C7F652">
            <w:pPr>
              <w:jc w:val="center"/>
              <w:rPr>
                <w:rFonts w:hint="eastAsia" w:asciiTheme="minorEastAsia" w:hAnsiTheme="minorEastAsia" w:eastAsiaTheme="minorEastAsia" w:cstheme="minorEastAsia"/>
                <w:sz w:val="36"/>
                <w:szCs w:val="36"/>
                <w:vertAlign w:val="baseline"/>
                <w:lang w:val="en-US" w:eastAsia="zh-CN"/>
              </w:rPr>
            </w:pPr>
          </w:p>
        </w:tc>
        <w:tc>
          <w:tcPr>
            <w:tcW w:w="1048" w:type="dxa"/>
            <w:tcBorders>
              <w:top w:val="single" w:color="auto" w:sz="4" w:space="0"/>
            </w:tcBorders>
            <w:vAlign w:val="center"/>
          </w:tcPr>
          <w:p w14:paraId="7150B92E">
            <w:pPr>
              <w:bidi w:val="0"/>
              <w:jc w:val="center"/>
              <w:rPr>
                <w:rFonts w:hint="eastAsia" w:asciiTheme="minorHAnsi" w:hAnsiTheme="minorHAnsi" w:eastAsiaTheme="minorEastAsia" w:cstheme="minorBidi"/>
                <w:kern w:val="2"/>
                <w:sz w:val="24"/>
                <w:szCs w:val="32"/>
                <w:lang w:val="en-US" w:eastAsia="zh-CN" w:bidi="ar-SA"/>
              </w:rPr>
            </w:pPr>
          </w:p>
        </w:tc>
      </w:tr>
      <w:tr w14:paraId="12470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522" w:type="dxa"/>
            <w:gridSpan w:val="4"/>
            <w:vAlign w:val="center"/>
          </w:tcPr>
          <w:p w14:paraId="6FE399C5">
            <w:pPr>
              <w:jc w:val="center"/>
              <w:rPr>
                <w:rFonts w:hint="eastAsia" w:asciiTheme="minorEastAsia" w:hAnsiTheme="minorEastAsia" w:eastAsiaTheme="minorEastAsia" w:cstheme="minorEastAsia"/>
                <w:sz w:val="36"/>
                <w:szCs w:val="36"/>
                <w:vertAlign w:val="baseline"/>
                <w:lang w:val="en-US" w:eastAsia="zh-CN"/>
              </w:rPr>
            </w:pPr>
            <w:r>
              <w:rPr>
                <w:rFonts w:hint="eastAsia" w:asciiTheme="minorEastAsia" w:hAnsiTheme="minorEastAsia" w:cstheme="minorEastAsia"/>
                <w:sz w:val="24"/>
                <w:szCs w:val="24"/>
                <w:vertAlign w:val="baseline"/>
                <w:lang w:val="en-US" w:eastAsia="zh-CN"/>
              </w:rPr>
              <w:t>教学后记</w:t>
            </w:r>
          </w:p>
        </w:tc>
      </w:tr>
      <w:tr w14:paraId="4650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4" w:hRule="atLeast"/>
        </w:trPr>
        <w:tc>
          <w:tcPr>
            <w:tcW w:w="8522" w:type="dxa"/>
            <w:gridSpan w:val="4"/>
            <w:vAlign w:val="center"/>
          </w:tcPr>
          <w:p w14:paraId="2451A8BD">
            <w:pPr>
              <w:numPr>
                <w:ilvl w:val="0"/>
                <w:numId w:val="1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自我感受</w:t>
            </w:r>
          </w:p>
          <w:p w14:paraId="2AD38A5E">
            <w:pPr>
              <w:numPr>
                <w:ilvl w:val="0"/>
                <w:numId w:val="0"/>
              </w:numPr>
              <w:ind w:left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周三上午3-4节，9-10班）由于晚上加班，上课整体比较疲乏，思维变慢。（周四上午3-4节，3-4班）由于晚上备课耽误休息时间，今天思维明显不足。第二节课后半个小时没有内容。再由于课程内容不熟悉，所以上课感受并不好。没有办法，这个需要时间。所以，抓紧时间提前备课是上课的关键。</w:t>
            </w:r>
          </w:p>
          <w:p w14:paraId="55170EBB">
            <w:pPr>
              <w:numPr>
                <w:ilvl w:val="0"/>
                <w:numId w:val="0"/>
              </w:numPr>
              <w:ind w:left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（周四下午7-8节，7-8班）下午的课较上午的好，因为中午有休息，下午进一步熟悉了相关知识。学生的配合较上午也好一些。</w:t>
            </w:r>
          </w:p>
          <w:p w14:paraId="7B07E579">
            <w:pPr>
              <w:numPr>
                <w:ilvl w:val="0"/>
                <w:numId w:val="0"/>
              </w:numPr>
              <w:ind w:leftChars="0"/>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（周五上午3-4节，5-6班）因为对知识不熟悉，讲授不流畅，所以大家觉得“厌烦”。所以需要反复熟悉阅读教材。</w:t>
            </w:r>
            <w:bookmarkStart w:id="0" w:name="_GoBack"/>
            <w:bookmarkEnd w:id="0"/>
          </w:p>
          <w:p w14:paraId="00ECAD9E">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1.1、教学设计是否合理？</w:t>
            </w:r>
          </w:p>
          <w:p w14:paraId="30F9EEED">
            <w:pPr>
              <w:numPr>
                <w:ilvl w:val="0"/>
                <w:numId w:val="0"/>
              </w:num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我觉得教学应该没有问题，总体上是衔接流畅的。添加了小李的故事。</w:t>
            </w:r>
          </w:p>
          <w:p w14:paraId="11ED9D2E">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1.2、教学目的是否客观？</w:t>
            </w:r>
          </w:p>
          <w:p w14:paraId="0AF57A27">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客观</w:t>
            </w:r>
          </w:p>
          <w:p w14:paraId="47E5E3EE">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1.3、重点难点是否抓准？</w:t>
            </w:r>
          </w:p>
          <w:p w14:paraId="134EAF5B">
            <w:pPr>
              <w:numPr>
                <w:ilvl w:val="0"/>
                <w:numId w:val="0"/>
              </w:num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本课没有明显的教学难点。</w:t>
            </w:r>
          </w:p>
          <w:p w14:paraId="67090538">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1.4、教学环节是否安排合适？</w:t>
            </w:r>
          </w:p>
          <w:p w14:paraId="70AFC35B">
            <w:pPr>
              <w:numPr>
                <w:ilvl w:val="0"/>
                <w:numId w:val="0"/>
              </w:numPr>
              <w:jc w:val="both"/>
              <w:rPr>
                <w:rFonts w:hint="default" w:ascii="仿宋" w:hAnsi="仿宋" w:eastAsia="仿宋" w:cs="仿宋"/>
                <w:b/>
                <w:bCs/>
                <w:color w:val="0000FF"/>
                <w:sz w:val="24"/>
                <w:szCs w:val="24"/>
                <w:vertAlign w:val="baseline"/>
                <w:lang w:val="en-US" w:eastAsia="zh-CN"/>
              </w:rPr>
            </w:pPr>
            <w:r>
              <w:rPr>
                <w:rFonts w:hint="eastAsia" w:ascii="仿宋" w:hAnsi="仿宋" w:eastAsia="仿宋" w:cs="仿宋"/>
                <w:sz w:val="24"/>
                <w:szCs w:val="24"/>
                <w:vertAlign w:val="baseline"/>
                <w:lang w:val="en-US" w:eastAsia="zh-CN"/>
              </w:rPr>
              <w:t>按照教材内容，有条不紊，循序渐进，整体合适。只是因为教材内容熟悉度不够，专业知识了解不够深，以及没有充分的休息，使得上课语言不流畅。</w:t>
            </w:r>
          </w:p>
          <w:p w14:paraId="4D2CF3AF">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1.5、预习、自学；复习、提纲、导语、结束语、板书等设计是否恰当？</w:t>
            </w:r>
          </w:p>
          <w:p w14:paraId="57ACB81C">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没有感觉明显地不恰当。</w:t>
            </w:r>
          </w:p>
          <w:p w14:paraId="30E5106E">
            <w:pPr>
              <w:numPr>
                <w:ilvl w:val="0"/>
                <w:numId w:val="0"/>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1.6、教学语言、教学手段方法、教学的应变、教学的效果等感觉如何？</w:t>
            </w:r>
          </w:p>
          <w:p w14:paraId="4ACC67B7">
            <w:pPr>
              <w:numPr>
                <w:ilvl w:val="0"/>
                <w:numId w:val="0"/>
              </w:num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教学语言较之前更加精炼。教学手段在讲授法的基础上</w:t>
            </w:r>
            <w:r>
              <w:rPr>
                <w:rFonts w:hint="eastAsia" w:ascii="仿宋" w:hAnsi="仿宋" w:eastAsia="仿宋" w:cs="仿宋"/>
                <w:b w:val="0"/>
                <w:bCs w:val="0"/>
                <w:color w:val="0D0D0D" w:themeColor="text1" w:themeTint="F2"/>
                <w:sz w:val="24"/>
                <w:szCs w:val="24"/>
                <w:vertAlign w:val="baseline"/>
                <w:lang w:val="en-US" w:eastAsia="zh-CN"/>
                <w14:textFill>
                  <w14:solidFill>
                    <w14:schemeClr w14:val="tx1">
                      <w14:lumMod w14:val="95000"/>
                      <w14:lumOff w14:val="5000"/>
                    </w14:schemeClr>
                  </w14:solidFill>
                </w14:textFill>
              </w:rPr>
              <w:t>，</w:t>
            </w:r>
            <w:r>
              <w:rPr>
                <w:rFonts w:hint="eastAsia" w:ascii="仿宋" w:hAnsi="仿宋" w:eastAsia="仿宋" w:cs="仿宋"/>
                <w:b/>
                <w:bCs/>
                <w:color w:val="0000FF"/>
                <w:sz w:val="24"/>
                <w:szCs w:val="24"/>
                <w:vertAlign w:val="baseline"/>
                <w:lang w:val="en-US" w:eastAsia="zh-CN"/>
              </w:rPr>
              <w:t>应该多添加图文、音视频以降低理解的难度，提高学生的兴趣</w:t>
            </w:r>
            <w:r>
              <w:rPr>
                <w:rFonts w:hint="eastAsia" w:ascii="仿宋" w:hAnsi="仿宋" w:eastAsia="仿宋" w:cs="仿宋"/>
                <w:sz w:val="24"/>
                <w:szCs w:val="24"/>
                <w:vertAlign w:val="baseline"/>
                <w:lang w:val="en-US" w:eastAsia="zh-CN"/>
              </w:rPr>
              <w:t>。在备课时应该注意，平时多学习，多向有经验的老师提问。</w:t>
            </w:r>
          </w:p>
          <w:p w14:paraId="2BC76D80">
            <w:pPr>
              <w:numPr>
                <w:ilvl w:val="0"/>
                <w:numId w:val="0"/>
              </w:numPr>
              <w:jc w:val="both"/>
              <w:rPr>
                <w:rFonts w:hint="eastAsia" w:ascii="仿宋" w:hAnsi="仿宋" w:eastAsia="仿宋" w:cs="仿宋"/>
                <w:b w:val="0"/>
                <w:bCs w:val="0"/>
                <w:color w:val="0D0D0D" w:themeColor="text1" w:themeTint="F2"/>
                <w:sz w:val="24"/>
                <w:szCs w:val="24"/>
                <w:vertAlign w:val="baseline"/>
                <w:lang w:val="en-US" w:eastAsia="zh-CN"/>
                <w14:textFill>
                  <w14:solidFill>
                    <w14:schemeClr w14:val="tx1">
                      <w14:lumMod w14:val="95000"/>
                      <w14:lumOff w14:val="5000"/>
                    </w14:schemeClr>
                  </w14:solidFill>
                </w14:textFill>
              </w:rPr>
            </w:pPr>
            <w:r>
              <w:rPr>
                <w:rFonts w:hint="eastAsia" w:ascii="仿宋" w:hAnsi="仿宋" w:eastAsia="仿宋" w:cs="仿宋"/>
                <w:sz w:val="24"/>
                <w:szCs w:val="24"/>
                <w:vertAlign w:val="baseline"/>
                <w:lang w:val="en-US" w:eastAsia="zh-CN"/>
              </w:rPr>
              <w:t>教学的应变：由于课程的专业性及学生的特点，目前没有遇到这个问题。</w:t>
            </w:r>
            <w:r>
              <w:rPr>
                <w:rFonts w:hint="eastAsia" w:ascii="仿宋" w:hAnsi="仿宋" w:eastAsia="仿宋" w:cs="仿宋"/>
                <w:b w:val="0"/>
                <w:bCs w:val="0"/>
                <w:color w:val="0D0D0D" w:themeColor="text1" w:themeTint="F2"/>
                <w:sz w:val="24"/>
                <w:szCs w:val="24"/>
                <w:vertAlign w:val="baseline"/>
                <w:lang w:val="en-US" w:eastAsia="zh-CN"/>
                <w14:textFill>
                  <w14:solidFill>
                    <w14:schemeClr w14:val="tx1">
                      <w14:lumMod w14:val="95000"/>
                      <w14:lumOff w14:val="5000"/>
                    </w14:schemeClr>
                  </w14:solidFill>
                </w14:textFill>
              </w:rPr>
              <w:t>鼓励学生思考提问。</w:t>
            </w:r>
          </w:p>
          <w:p w14:paraId="6B497917">
            <w:pPr>
              <w:numPr>
                <w:ilvl w:val="0"/>
                <w:numId w:val="11"/>
              </w:numPr>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学生信息反馈</w:t>
            </w:r>
          </w:p>
          <w:p w14:paraId="55FF77BE">
            <w:pPr>
              <w:numPr>
                <w:ilvl w:val="0"/>
                <w:numId w:val="0"/>
              </w:numPr>
              <w:jc w:val="both"/>
              <w:rPr>
                <w:rFonts w:hint="eastAsia" w:ascii="楷体" w:hAnsi="楷体" w:eastAsia="楷体" w:cs="楷体"/>
                <w:i w:val="0"/>
                <w:iCs w:val="0"/>
                <w:sz w:val="22"/>
                <w:szCs w:val="22"/>
                <w:vertAlign w:val="baseline"/>
                <w:lang w:val="en-US" w:eastAsia="zh-CN"/>
              </w:rPr>
            </w:pPr>
            <w:r>
              <w:rPr>
                <w:rFonts w:hint="eastAsia" w:ascii="楷体" w:hAnsi="楷体" w:eastAsia="楷体" w:cs="楷体"/>
                <w:i w:val="0"/>
                <w:iCs w:val="0"/>
                <w:sz w:val="22"/>
                <w:szCs w:val="22"/>
                <w:vertAlign w:val="baseline"/>
                <w:lang w:val="en-US" w:eastAsia="zh-CN"/>
              </w:rPr>
              <w:t>（主要指学生的表情变化是否专注、注意力是否集中稳定、课堂气氛是否活跃、和谐，师生情感交流是否融洽正常，学生发言是否积极、教学效果是否满意。）</w:t>
            </w:r>
          </w:p>
          <w:p w14:paraId="33E133CB">
            <w:pPr>
              <w:numPr>
                <w:ilvl w:val="0"/>
                <w:numId w:val="0"/>
              </w:numPr>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学生上课状态不是很好。</w:t>
            </w:r>
          </w:p>
          <w:p w14:paraId="2B0780E5">
            <w:pPr>
              <w:numPr>
                <w:ilvl w:val="0"/>
                <w:numId w:val="0"/>
              </w:numPr>
              <w:jc w:val="both"/>
              <w:rPr>
                <w:rFonts w:hint="eastAsia" w:ascii="仿宋" w:hAnsi="仿宋" w:eastAsia="仿宋" w:cs="仿宋"/>
                <w:sz w:val="24"/>
                <w:szCs w:val="24"/>
                <w:vertAlign w:val="baseline"/>
                <w:lang w:val="en-US" w:eastAsia="zh-CN"/>
              </w:rPr>
            </w:pPr>
          </w:p>
          <w:p w14:paraId="61462D42">
            <w:pPr>
              <w:numPr>
                <w:ilvl w:val="0"/>
                <w:numId w:val="11"/>
              </w:numPr>
              <w:ind w:left="0" w:leftChars="0" w:firstLine="0" w:firstLineChars="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评课意见</w:t>
            </w:r>
          </w:p>
          <w:p w14:paraId="6D00A492">
            <w:pPr>
              <w:numPr>
                <w:ilvl w:val="0"/>
                <w:numId w:val="0"/>
              </w:numPr>
              <w:ind w:leftChars="0"/>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暂无。</w:t>
            </w:r>
          </w:p>
        </w:tc>
      </w:tr>
    </w:tbl>
    <w:p w14:paraId="3F8E562F">
      <w:pPr>
        <w:rPr>
          <w:rFonts w:hint="eastAsia"/>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F074D">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46973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9469736">
                    <w:pPr>
                      <w:pStyle w:val="3"/>
                    </w:pPr>
                    <w:r>
                      <w:fldChar w:fldCharType="begin"/>
                    </w:r>
                    <w:r>
                      <w:instrText xml:space="preserve"> PAGE  \* MERGEFORMAT </w:instrText>
                    </w:r>
                    <w:r>
                      <w:fldChar w:fldCharType="separate"/>
                    </w:r>
                    <w:r>
                      <w:t>1</w:t>
                    </w:r>
                    <w:r>
                      <w:fldChar w:fldCharType="end"/>
                    </w:r>
                  </w:p>
                </w:txbxContent>
              </v:textbox>
            </v:shape>
          </w:pict>
        </mc:Fallback>
      </mc:AlternateContent>
    </w:r>
    <w:r>
      <w:drawing>
        <wp:anchor distT="0" distB="0" distL="114300" distR="114300" simplePos="0" relativeHeight="251660288" behindDoc="1" locked="0" layoutInCell="1" allowOverlap="1">
          <wp:simplePos x="0" y="0"/>
          <wp:positionH relativeFrom="page">
            <wp:posOffset>1080135</wp:posOffset>
          </wp:positionH>
          <wp:positionV relativeFrom="page">
            <wp:posOffset>9838055</wp:posOffset>
          </wp:positionV>
          <wp:extent cx="5400040" cy="130175"/>
          <wp:effectExtent l="0" t="0" r="10160" b="317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5400040" cy="130175"/>
                  </a:xfrm>
                  <a:prstGeom prst="rect">
                    <a:avLst/>
                  </a:prstGeom>
                  <a:noFill/>
                  <a:ln>
                    <a:noFill/>
                  </a:ln>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6A861">
    <w:pPr>
      <w:pStyle w:val="4"/>
    </w:pPr>
    <w:r>
      <w:drawing>
        <wp:anchor distT="0" distB="0" distL="114300" distR="114300" simplePos="0" relativeHeight="251659264" behindDoc="1" locked="0" layoutInCell="1" allowOverlap="1">
          <wp:simplePos x="0" y="0"/>
          <wp:positionH relativeFrom="page">
            <wp:posOffset>1076325</wp:posOffset>
          </wp:positionH>
          <wp:positionV relativeFrom="page">
            <wp:posOffset>467995</wp:posOffset>
          </wp:positionV>
          <wp:extent cx="5400040" cy="374650"/>
          <wp:effectExtent l="0" t="0" r="10160"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5400040" cy="3746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98127B"/>
    <w:multiLevelType w:val="singleLevel"/>
    <w:tmpl w:val="9B98127B"/>
    <w:lvl w:ilvl="0" w:tentative="0">
      <w:start w:val="1"/>
      <w:numFmt w:val="decimal"/>
      <w:lvlText w:val="%1."/>
      <w:lvlJc w:val="left"/>
      <w:pPr>
        <w:tabs>
          <w:tab w:val="left" w:pos="312"/>
        </w:tabs>
      </w:pPr>
    </w:lvl>
  </w:abstractNum>
  <w:abstractNum w:abstractNumId="1">
    <w:nsid w:val="BE5F1979"/>
    <w:multiLevelType w:val="singleLevel"/>
    <w:tmpl w:val="BE5F1979"/>
    <w:lvl w:ilvl="0" w:tentative="0">
      <w:start w:val="1"/>
      <w:numFmt w:val="decimal"/>
      <w:suff w:val="nothing"/>
      <w:lvlText w:val="%1、"/>
      <w:lvlJc w:val="left"/>
    </w:lvl>
  </w:abstractNum>
  <w:abstractNum w:abstractNumId="2">
    <w:nsid w:val="CB0534C8"/>
    <w:multiLevelType w:val="singleLevel"/>
    <w:tmpl w:val="CB0534C8"/>
    <w:lvl w:ilvl="0" w:tentative="0">
      <w:start w:val="2"/>
      <w:numFmt w:val="decimal"/>
      <w:suff w:val="nothing"/>
      <w:lvlText w:val="%1、"/>
      <w:lvlJc w:val="left"/>
    </w:lvl>
  </w:abstractNum>
  <w:abstractNum w:abstractNumId="3">
    <w:nsid w:val="FC3B80B2"/>
    <w:multiLevelType w:val="singleLevel"/>
    <w:tmpl w:val="FC3B80B2"/>
    <w:lvl w:ilvl="0" w:tentative="0">
      <w:start w:val="1"/>
      <w:numFmt w:val="decimal"/>
      <w:suff w:val="nothing"/>
      <w:lvlText w:val="（%1）"/>
      <w:lvlJc w:val="left"/>
    </w:lvl>
  </w:abstractNum>
  <w:abstractNum w:abstractNumId="4">
    <w:nsid w:val="07BCBA0A"/>
    <w:multiLevelType w:val="singleLevel"/>
    <w:tmpl w:val="07BCBA0A"/>
    <w:lvl w:ilvl="0" w:tentative="0">
      <w:start w:val="1"/>
      <w:numFmt w:val="decimal"/>
      <w:suff w:val="nothing"/>
      <w:lvlText w:val="%1、"/>
      <w:lvlJc w:val="left"/>
    </w:lvl>
  </w:abstractNum>
  <w:abstractNum w:abstractNumId="5">
    <w:nsid w:val="0DE1AC86"/>
    <w:multiLevelType w:val="singleLevel"/>
    <w:tmpl w:val="0DE1AC86"/>
    <w:lvl w:ilvl="0" w:tentative="0">
      <w:start w:val="2"/>
      <w:numFmt w:val="decimal"/>
      <w:suff w:val="nothing"/>
      <w:lvlText w:val="%1条，"/>
      <w:lvlJc w:val="left"/>
    </w:lvl>
  </w:abstractNum>
  <w:abstractNum w:abstractNumId="6">
    <w:nsid w:val="109CA122"/>
    <w:multiLevelType w:val="singleLevel"/>
    <w:tmpl w:val="109CA122"/>
    <w:lvl w:ilvl="0" w:tentative="0">
      <w:start w:val="2"/>
      <w:numFmt w:val="decimal"/>
      <w:suff w:val="nothing"/>
      <w:lvlText w:val="（%1）"/>
      <w:lvlJc w:val="left"/>
    </w:lvl>
  </w:abstractNum>
  <w:abstractNum w:abstractNumId="7">
    <w:nsid w:val="4E6A21DA"/>
    <w:multiLevelType w:val="multilevel"/>
    <w:tmpl w:val="4E6A21DA"/>
    <w:lvl w:ilvl="0" w:tentative="0">
      <w:start w:val="1"/>
      <w:numFmt w:val="decimal"/>
      <w:lvlText w:val="%1."/>
      <w:lvlJc w:val="left"/>
      <w:pPr>
        <w:tabs>
          <w:tab w:val="left" w:pos="312"/>
        </w:tabs>
      </w:pPr>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8">
    <w:nsid w:val="627C8734"/>
    <w:multiLevelType w:val="singleLevel"/>
    <w:tmpl w:val="627C8734"/>
    <w:lvl w:ilvl="0" w:tentative="0">
      <w:start w:val="1"/>
      <w:numFmt w:val="decimal"/>
      <w:suff w:val="nothing"/>
      <w:lvlText w:val="%1、"/>
      <w:lvlJc w:val="left"/>
    </w:lvl>
  </w:abstractNum>
  <w:abstractNum w:abstractNumId="9">
    <w:nsid w:val="6A3C2ADA"/>
    <w:multiLevelType w:val="singleLevel"/>
    <w:tmpl w:val="6A3C2ADA"/>
    <w:lvl w:ilvl="0" w:tentative="0">
      <w:start w:val="1"/>
      <w:numFmt w:val="decimal"/>
      <w:lvlText w:val="%1."/>
      <w:lvlJc w:val="left"/>
      <w:pPr>
        <w:tabs>
          <w:tab w:val="left" w:pos="312"/>
        </w:tabs>
      </w:pPr>
    </w:lvl>
  </w:abstractNum>
  <w:abstractNum w:abstractNumId="10">
    <w:nsid w:val="7043689B"/>
    <w:multiLevelType w:val="multilevel"/>
    <w:tmpl w:val="7043689B"/>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9"/>
  </w:num>
  <w:num w:numId="2">
    <w:abstractNumId w:val="7"/>
  </w:num>
  <w:num w:numId="3">
    <w:abstractNumId w:val="8"/>
  </w:num>
  <w:num w:numId="4">
    <w:abstractNumId w:val="10"/>
  </w:num>
  <w:num w:numId="5">
    <w:abstractNumId w:val="1"/>
  </w:num>
  <w:num w:numId="6">
    <w:abstractNumId w:val="6"/>
  </w:num>
  <w:num w:numId="7">
    <w:abstractNumId w:val="5"/>
  </w:num>
  <w:num w:numId="8">
    <w:abstractNumId w:val="4"/>
  </w:num>
  <w:num w:numId="9">
    <w:abstractNumId w:val="3"/>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3Yjc5ZTQwYTJhYmRmNjA5YTdjZjhkZjYyNGE4NzQifQ=="/>
  </w:docVars>
  <w:rsids>
    <w:rsidRoot w:val="00000000"/>
    <w:rsid w:val="003D1280"/>
    <w:rsid w:val="01EE141B"/>
    <w:rsid w:val="02081BD4"/>
    <w:rsid w:val="041B1368"/>
    <w:rsid w:val="04C87C0B"/>
    <w:rsid w:val="04C94E40"/>
    <w:rsid w:val="053C02DB"/>
    <w:rsid w:val="059652F0"/>
    <w:rsid w:val="059E1C31"/>
    <w:rsid w:val="05C341FF"/>
    <w:rsid w:val="05C67FFC"/>
    <w:rsid w:val="05CF0CFE"/>
    <w:rsid w:val="06876DA5"/>
    <w:rsid w:val="073914CA"/>
    <w:rsid w:val="07D6160D"/>
    <w:rsid w:val="08B5506F"/>
    <w:rsid w:val="08F41C38"/>
    <w:rsid w:val="0A317E04"/>
    <w:rsid w:val="0A9040FB"/>
    <w:rsid w:val="0AAF64F9"/>
    <w:rsid w:val="0AED7096"/>
    <w:rsid w:val="0B405673"/>
    <w:rsid w:val="0B971913"/>
    <w:rsid w:val="0B973201"/>
    <w:rsid w:val="0BC415A1"/>
    <w:rsid w:val="0CB753A7"/>
    <w:rsid w:val="0CF623BA"/>
    <w:rsid w:val="0D2C734C"/>
    <w:rsid w:val="0E423A5A"/>
    <w:rsid w:val="0E652EDD"/>
    <w:rsid w:val="0EF76548"/>
    <w:rsid w:val="0F9A04D5"/>
    <w:rsid w:val="10661F9A"/>
    <w:rsid w:val="12421A01"/>
    <w:rsid w:val="129B393F"/>
    <w:rsid w:val="12C37CA8"/>
    <w:rsid w:val="138E464B"/>
    <w:rsid w:val="1502584D"/>
    <w:rsid w:val="15062798"/>
    <w:rsid w:val="150834D9"/>
    <w:rsid w:val="154B7172"/>
    <w:rsid w:val="16B00E51"/>
    <w:rsid w:val="16E7671A"/>
    <w:rsid w:val="16EF256B"/>
    <w:rsid w:val="176B6339"/>
    <w:rsid w:val="17D60B0B"/>
    <w:rsid w:val="18293D0E"/>
    <w:rsid w:val="192C43C3"/>
    <w:rsid w:val="19836364"/>
    <w:rsid w:val="1AD60343"/>
    <w:rsid w:val="1AE4581D"/>
    <w:rsid w:val="1B5C390A"/>
    <w:rsid w:val="1B7C1A23"/>
    <w:rsid w:val="1C337CF0"/>
    <w:rsid w:val="1CB470DB"/>
    <w:rsid w:val="1D0A3E0D"/>
    <w:rsid w:val="1D326810"/>
    <w:rsid w:val="1D433249"/>
    <w:rsid w:val="1D9F5B1F"/>
    <w:rsid w:val="1DC414EA"/>
    <w:rsid w:val="1E004AF3"/>
    <w:rsid w:val="1E5A233A"/>
    <w:rsid w:val="1E8C45D9"/>
    <w:rsid w:val="1F0A48F8"/>
    <w:rsid w:val="1F7D3EF4"/>
    <w:rsid w:val="200A26D8"/>
    <w:rsid w:val="20314E98"/>
    <w:rsid w:val="20490AAF"/>
    <w:rsid w:val="20DF4DD4"/>
    <w:rsid w:val="20F37C9C"/>
    <w:rsid w:val="2108716A"/>
    <w:rsid w:val="216C2E48"/>
    <w:rsid w:val="2226260A"/>
    <w:rsid w:val="222C20A9"/>
    <w:rsid w:val="22AC4A6F"/>
    <w:rsid w:val="22D51A80"/>
    <w:rsid w:val="22F67295"/>
    <w:rsid w:val="230E7C20"/>
    <w:rsid w:val="23F43E3C"/>
    <w:rsid w:val="244F60BF"/>
    <w:rsid w:val="24596674"/>
    <w:rsid w:val="247B189A"/>
    <w:rsid w:val="247F127B"/>
    <w:rsid w:val="24A64103"/>
    <w:rsid w:val="24B83206"/>
    <w:rsid w:val="24E26528"/>
    <w:rsid w:val="251D4E8B"/>
    <w:rsid w:val="259F45C7"/>
    <w:rsid w:val="26544D7D"/>
    <w:rsid w:val="26904421"/>
    <w:rsid w:val="26971080"/>
    <w:rsid w:val="26DB38D0"/>
    <w:rsid w:val="27381994"/>
    <w:rsid w:val="27385072"/>
    <w:rsid w:val="274753C3"/>
    <w:rsid w:val="27512B38"/>
    <w:rsid w:val="275568D2"/>
    <w:rsid w:val="27E115FA"/>
    <w:rsid w:val="284E7F2E"/>
    <w:rsid w:val="287E3382"/>
    <w:rsid w:val="288C5F18"/>
    <w:rsid w:val="28A67EFC"/>
    <w:rsid w:val="28C9050E"/>
    <w:rsid w:val="293E7FA8"/>
    <w:rsid w:val="295A14BE"/>
    <w:rsid w:val="2A1B4B13"/>
    <w:rsid w:val="2A2C74BF"/>
    <w:rsid w:val="2A535FD0"/>
    <w:rsid w:val="2A9076D8"/>
    <w:rsid w:val="2AE775C9"/>
    <w:rsid w:val="2BCF0F99"/>
    <w:rsid w:val="2BD1187D"/>
    <w:rsid w:val="2C0530BD"/>
    <w:rsid w:val="2C4D5FD2"/>
    <w:rsid w:val="2CD3163E"/>
    <w:rsid w:val="2CD4081A"/>
    <w:rsid w:val="2D03414E"/>
    <w:rsid w:val="2D264BC1"/>
    <w:rsid w:val="2D3B3FF4"/>
    <w:rsid w:val="2D8B2BC4"/>
    <w:rsid w:val="2D91186F"/>
    <w:rsid w:val="2DCE2BE1"/>
    <w:rsid w:val="2DF21528"/>
    <w:rsid w:val="2E1F2234"/>
    <w:rsid w:val="2E2058CA"/>
    <w:rsid w:val="2E415C0B"/>
    <w:rsid w:val="2E7D0690"/>
    <w:rsid w:val="2E8A5133"/>
    <w:rsid w:val="2EBF6CD4"/>
    <w:rsid w:val="2F2B60C3"/>
    <w:rsid w:val="2F6B5BE4"/>
    <w:rsid w:val="2F73601B"/>
    <w:rsid w:val="30765F50"/>
    <w:rsid w:val="308D0FE9"/>
    <w:rsid w:val="30CC1889"/>
    <w:rsid w:val="31427BCA"/>
    <w:rsid w:val="314F0768"/>
    <w:rsid w:val="31785246"/>
    <w:rsid w:val="31953766"/>
    <w:rsid w:val="320038B9"/>
    <w:rsid w:val="326D6E4F"/>
    <w:rsid w:val="32AA2E28"/>
    <w:rsid w:val="330216E8"/>
    <w:rsid w:val="33531BB5"/>
    <w:rsid w:val="336C62ED"/>
    <w:rsid w:val="339C4474"/>
    <w:rsid w:val="34354FAB"/>
    <w:rsid w:val="3475631D"/>
    <w:rsid w:val="34CE77F9"/>
    <w:rsid w:val="34F822E9"/>
    <w:rsid w:val="356B0A42"/>
    <w:rsid w:val="358805AA"/>
    <w:rsid w:val="35CD0E48"/>
    <w:rsid w:val="36672402"/>
    <w:rsid w:val="37562547"/>
    <w:rsid w:val="38A40FAF"/>
    <w:rsid w:val="38A91968"/>
    <w:rsid w:val="39461CF1"/>
    <w:rsid w:val="3A5A6063"/>
    <w:rsid w:val="3B333EDD"/>
    <w:rsid w:val="3B413699"/>
    <w:rsid w:val="3B7452C6"/>
    <w:rsid w:val="3BAC788E"/>
    <w:rsid w:val="3C1558E8"/>
    <w:rsid w:val="3D567144"/>
    <w:rsid w:val="3DCF0FFF"/>
    <w:rsid w:val="3E1F1FE5"/>
    <w:rsid w:val="3EBE4B6E"/>
    <w:rsid w:val="3EC8634C"/>
    <w:rsid w:val="3F095395"/>
    <w:rsid w:val="3F6B1D26"/>
    <w:rsid w:val="3F783A90"/>
    <w:rsid w:val="3FE00EC7"/>
    <w:rsid w:val="400A45DD"/>
    <w:rsid w:val="405C10D4"/>
    <w:rsid w:val="40BB74A9"/>
    <w:rsid w:val="40FA572A"/>
    <w:rsid w:val="411063A8"/>
    <w:rsid w:val="414932AA"/>
    <w:rsid w:val="417C108D"/>
    <w:rsid w:val="41A43476"/>
    <w:rsid w:val="41AD2F9D"/>
    <w:rsid w:val="41CC03D7"/>
    <w:rsid w:val="42030652"/>
    <w:rsid w:val="423A4383"/>
    <w:rsid w:val="429F385C"/>
    <w:rsid w:val="43BE21E9"/>
    <w:rsid w:val="43D61363"/>
    <w:rsid w:val="43EB47C2"/>
    <w:rsid w:val="44F16E74"/>
    <w:rsid w:val="456A52C2"/>
    <w:rsid w:val="46AE2564"/>
    <w:rsid w:val="47904BD0"/>
    <w:rsid w:val="47A73AFD"/>
    <w:rsid w:val="48AC5A6A"/>
    <w:rsid w:val="48B134AD"/>
    <w:rsid w:val="48F42331"/>
    <w:rsid w:val="491465B8"/>
    <w:rsid w:val="498E7695"/>
    <w:rsid w:val="4A29289E"/>
    <w:rsid w:val="4A357E65"/>
    <w:rsid w:val="4A37545D"/>
    <w:rsid w:val="4AA372C1"/>
    <w:rsid w:val="4AC55D82"/>
    <w:rsid w:val="4AD7390E"/>
    <w:rsid w:val="4BB94120"/>
    <w:rsid w:val="4C805DF3"/>
    <w:rsid w:val="4CD342B9"/>
    <w:rsid w:val="4CE372B9"/>
    <w:rsid w:val="4EB66985"/>
    <w:rsid w:val="4EBC4F00"/>
    <w:rsid w:val="4F2615A6"/>
    <w:rsid w:val="4FC03A1A"/>
    <w:rsid w:val="4FEF056B"/>
    <w:rsid w:val="5049110A"/>
    <w:rsid w:val="506F1A69"/>
    <w:rsid w:val="5084105B"/>
    <w:rsid w:val="514E20B3"/>
    <w:rsid w:val="51BB20EF"/>
    <w:rsid w:val="52C22B02"/>
    <w:rsid w:val="530A65C0"/>
    <w:rsid w:val="531D5890"/>
    <w:rsid w:val="53731094"/>
    <w:rsid w:val="53D03AFA"/>
    <w:rsid w:val="53EE7DC7"/>
    <w:rsid w:val="5488491F"/>
    <w:rsid w:val="5669515B"/>
    <w:rsid w:val="56AE1A9C"/>
    <w:rsid w:val="56D3653E"/>
    <w:rsid w:val="56D82D87"/>
    <w:rsid w:val="574D6904"/>
    <w:rsid w:val="57D95F1F"/>
    <w:rsid w:val="583C57D0"/>
    <w:rsid w:val="584D394E"/>
    <w:rsid w:val="585A4825"/>
    <w:rsid w:val="587C29ED"/>
    <w:rsid w:val="58992E9D"/>
    <w:rsid w:val="594C693A"/>
    <w:rsid w:val="59AD4C84"/>
    <w:rsid w:val="59AE090B"/>
    <w:rsid w:val="59AF49B1"/>
    <w:rsid w:val="5A21156A"/>
    <w:rsid w:val="5A2E205F"/>
    <w:rsid w:val="5A317B22"/>
    <w:rsid w:val="5AC4229C"/>
    <w:rsid w:val="5B150192"/>
    <w:rsid w:val="5BBA6358"/>
    <w:rsid w:val="5C420A59"/>
    <w:rsid w:val="5D172E8B"/>
    <w:rsid w:val="5D275A4F"/>
    <w:rsid w:val="5D485594"/>
    <w:rsid w:val="5EB94E38"/>
    <w:rsid w:val="5F506D0D"/>
    <w:rsid w:val="5FDC5117"/>
    <w:rsid w:val="607C0CDE"/>
    <w:rsid w:val="61627D50"/>
    <w:rsid w:val="61FA1AC6"/>
    <w:rsid w:val="624C34E5"/>
    <w:rsid w:val="63023DDD"/>
    <w:rsid w:val="63493BD5"/>
    <w:rsid w:val="63A32486"/>
    <w:rsid w:val="63F4797D"/>
    <w:rsid w:val="64A623E4"/>
    <w:rsid w:val="64D23FFC"/>
    <w:rsid w:val="64FE27AA"/>
    <w:rsid w:val="65513003"/>
    <w:rsid w:val="657B47DA"/>
    <w:rsid w:val="658835A0"/>
    <w:rsid w:val="66826DDA"/>
    <w:rsid w:val="66A510AF"/>
    <w:rsid w:val="671A69FA"/>
    <w:rsid w:val="67CA3599"/>
    <w:rsid w:val="68523F93"/>
    <w:rsid w:val="68AC6255"/>
    <w:rsid w:val="68E349D8"/>
    <w:rsid w:val="691431A9"/>
    <w:rsid w:val="6A574D1E"/>
    <w:rsid w:val="6AB64F23"/>
    <w:rsid w:val="6B643D82"/>
    <w:rsid w:val="6C427652"/>
    <w:rsid w:val="6CB178DD"/>
    <w:rsid w:val="6CE230AE"/>
    <w:rsid w:val="6D1B53E4"/>
    <w:rsid w:val="6D512C1C"/>
    <w:rsid w:val="6D5E317C"/>
    <w:rsid w:val="6DB82591"/>
    <w:rsid w:val="6DEF2023"/>
    <w:rsid w:val="6E25735C"/>
    <w:rsid w:val="6E4C6A96"/>
    <w:rsid w:val="6EBB602E"/>
    <w:rsid w:val="6EBF2ADE"/>
    <w:rsid w:val="6ED77B26"/>
    <w:rsid w:val="6F3275E5"/>
    <w:rsid w:val="6FFC63BD"/>
    <w:rsid w:val="70404384"/>
    <w:rsid w:val="705D7351"/>
    <w:rsid w:val="70A30731"/>
    <w:rsid w:val="713E7CCC"/>
    <w:rsid w:val="721A575D"/>
    <w:rsid w:val="72A35852"/>
    <w:rsid w:val="72E721EA"/>
    <w:rsid w:val="735650B2"/>
    <w:rsid w:val="73626A5C"/>
    <w:rsid w:val="73C51294"/>
    <w:rsid w:val="73E40B9D"/>
    <w:rsid w:val="73EE36BA"/>
    <w:rsid w:val="74173008"/>
    <w:rsid w:val="742F3DC1"/>
    <w:rsid w:val="7436288E"/>
    <w:rsid w:val="7487371F"/>
    <w:rsid w:val="75B60A02"/>
    <w:rsid w:val="75B72B65"/>
    <w:rsid w:val="75E60F22"/>
    <w:rsid w:val="76131DB3"/>
    <w:rsid w:val="76324BA4"/>
    <w:rsid w:val="77740948"/>
    <w:rsid w:val="77CF038E"/>
    <w:rsid w:val="787F0BAB"/>
    <w:rsid w:val="7899274E"/>
    <w:rsid w:val="78FB7C39"/>
    <w:rsid w:val="795E5595"/>
    <w:rsid w:val="79C21DD2"/>
    <w:rsid w:val="79CA0CBA"/>
    <w:rsid w:val="79F25F85"/>
    <w:rsid w:val="7AF6094A"/>
    <w:rsid w:val="7B0B4BE4"/>
    <w:rsid w:val="7B34358D"/>
    <w:rsid w:val="7B973A2E"/>
    <w:rsid w:val="7BAD6C64"/>
    <w:rsid w:val="7BBA0FB3"/>
    <w:rsid w:val="7C3C0C1F"/>
    <w:rsid w:val="7DF556C0"/>
    <w:rsid w:val="7DFC62F4"/>
    <w:rsid w:val="7E55335A"/>
    <w:rsid w:val="7E5F26BC"/>
    <w:rsid w:val="7E9A5B2F"/>
    <w:rsid w:val="7EFF6E14"/>
    <w:rsid w:val="7F844E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after="330" w:afterLines="0" w:line="578" w:lineRule="auto"/>
      <w:outlineLvl w:val="0"/>
    </w:pPr>
    <w:rPr>
      <w:b/>
      <w:bCs/>
      <w:kern w:val="44"/>
      <w:sz w:val="44"/>
      <w:szCs w:val="44"/>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插图"/>
    <w:basedOn w:val="1"/>
    <w:autoRedefine/>
    <w:qFormat/>
    <w:uiPriority w:val="0"/>
    <w:pPr>
      <w:spacing w:before="120" w:beforeLines="0" w:after="60" w:afterLines="0"/>
      <w:jc w:val="center"/>
    </w:pPr>
    <w:rPr>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2238</Words>
  <Characters>2290</Characters>
  <Lines>0</Lines>
  <Paragraphs>0</Paragraphs>
  <TotalTime>110</TotalTime>
  <ScaleCrop>false</ScaleCrop>
  <LinksUpToDate>false</LinksUpToDate>
  <CharactersWithSpaces>2305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2023-08-28T11:15:00Z</dcterms:created>
  <dc:creator>Administrator</dc:creator>
  <cp:lastModifiedBy>宁利民</cp:lastModifiedBy>
  <dcterms:modified xsi:type="dcterms:W3CDTF">2024-11-06T07:57:16Z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52A284B5E03C41D2BE3B6B26B7E33E67_13</vt:lpwstr>
  </property>
</Properties>
</file>