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BA9F8">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b/>
          <w:bCs/>
          <w:sz w:val="32"/>
          <w:szCs w:val="32"/>
          <w:lang w:val="en-US" w:eastAsia="zh-CN"/>
        </w:rPr>
      </w:pPr>
      <w:r>
        <w:rPr>
          <w:rFonts w:hint="eastAsia"/>
          <w:b/>
          <w:bCs/>
          <w:sz w:val="32"/>
          <w:szCs w:val="32"/>
          <w:lang w:val="en-US" w:eastAsia="zh-CN"/>
        </w:rPr>
        <w:t>《城市轨道交通线路与站场》课程教案</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2517"/>
        <w:gridCol w:w="2937"/>
        <w:gridCol w:w="1133"/>
      </w:tblGrid>
      <w:tr w14:paraId="3A8C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1896" w:type="dxa"/>
            <w:vAlign w:val="center"/>
          </w:tcPr>
          <w:p w14:paraId="36D3898F">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授课时间</w:t>
            </w:r>
          </w:p>
        </w:tc>
        <w:tc>
          <w:tcPr>
            <w:tcW w:w="2364" w:type="dxa"/>
            <w:vAlign w:val="center"/>
          </w:tcPr>
          <w:p w14:paraId="06487EAA">
            <w:pPr>
              <w:jc w:val="center"/>
              <w:rPr>
                <w:rFonts w:hint="default" w:asciiTheme="minorEastAsia" w:hAnsiTheme="minorEastAsia" w:eastAsiaTheme="minorEastAsia" w:cstheme="minorEastAsia"/>
                <w:sz w:val="36"/>
                <w:szCs w:val="36"/>
                <w:vertAlign w:val="baseline"/>
                <w:lang w:val="en-US" w:eastAsia="zh-CN"/>
              </w:rPr>
            </w:pPr>
            <w:r>
              <w:rPr>
                <w:rFonts w:hint="eastAsia" w:ascii="仿宋" w:hAnsi="仿宋" w:eastAsia="仿宋" w:cs="仿宋"/>
                <w:sz w:val="24"/>
                <w:szCs w:val="24"/>
                <w:vertAlign w:val="baseline"/>
                <w:lang w:val="en-US" w:eastAsia="zh-CN"/>
              </w:rPr>
              <w:t>9.24至9.29</w:t>
            </w:r>
          </w:p>
        </w:tc>
        <w:tc>
          <w:tcPr>
            <w:tcW w:w="2966" w:type="dxa"/>
            <w:vAlign w:val="center"/>
          </w:tcPr>
          <w:p w14:paraId="5053C9F2">
            <w:pPr>
              <w:jc w:val="center"/>
              <w:rPr>
                <w:rFonts w:hint="eastAsia" w:asciiTheme="minorEastAsia" w:hAnsiTheme="minorEastAsia" w:eastAsiaTheme="minorEastAsia" w:cstheme="minorEastAsia"/>
                <w:sz w:val="36"/>
                <w:szCs w:val="36"/>
                <w:vertAlign w:val="baseline"/>
                <w:lang w:val="en-US" w:eastAsia="zh-CN"/>
              </w:rPr>
            </w:pPr>
            <w:r>
              <w:rPr>
                <w:rFonts w:hint="eastAsia" w:asciiTheme="minorEastAsia" w:hAnsiTheme="minorEastAsia" w:eastAsiaTheme="minorEastAsia" w:cstheme="minorEastAsia"/>
                <w:sz w:val="24"/>
                <w:szCs w:val="24"/>
                <w:vertAlign w:val="baseline"/>
                <w:lang w:val="en-US" w:eastAsia="zh-CN"/>
              </w:rPr>
              <w:t>授课章节</w:t>
            </w:r>
          </w:p>
        </w:tc>
        <w:tc>
          <w:tcPr>
            <w:tcW w:w="1296" w:type="dxa"/>
            <w:vAlign w:val="center"/>
          </w:tcPr>
          <w:p w14:paraId="3497FCDC">
            <w:pPr>
              <w:jc w:val="center"/>
              <w:rPr>
                <w:rFonts w:hint="default" w:asciiTheme="minorEastAsia" w:hAnsiTheme="minorEastAsia" w:eastAsiaTheme="minorEastAsia" w:cstheme="minorEastAsia"/>
                <w:sz w:val="36"/>
                <w:szCs w:val="36"/>
                <w:vertAlign w:val="baseline"/>
                <w:lang w:val="en-US" w:eastAsia="zh-CN"/>
              </w:rPr>
            </w:pPr>
            <w:r>
              <w:rPr>
                <w:rFonts w:hint="eastAsia" w:ascii="仿宋" w:hAnsi="仿宋" w:eastAsia="仿宋" w:cs="仿宋"/>
                <w:sz w:val="24"/>
                <w:szCs w:val="24"/>
                <w:vertAlign w:val="baseline"/>
                <w:lang w:val="en-US" w:eastAsia="zh-CN"/>
              </w:rPr>
              <w:t>模块二任务一</w:t>
            </w:r>
          </w:p>
        </w:tc>
      </w:tr>
      <w:tr w14:paraId="7469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896" w:type="dxa"/>
            <w:vAlign w:val="center"/>
          </w:tcPr>
          <w:p w14:paraId="7D02D7EF">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授课题目</w:t>
            </w:r>
          </w:p>
        </w:tc>
        <w:tc>
          <w:tcPr>
            <w:tcW w:w="6626" w:type="dxa"/>
            <w:gridSpan w:val="3"/>
            <w:vAlign w:val="center"/>
          </w:tcPr>
          <w:p w14:paraId="66C6708E">
            <w:pPr>
              <w:jc w:val="center"/>
              <w:rPr>
                <w:rFonts w:hint="default" w:eastAsiaTheme="minorEastAsia"/>
                <w:sz w:val="24"/>
                <w:szCs w:val="32"/>
                <w:lang w:val="en-US" w:eastAsia="zh-CN"/>
              </w:rPr>
            </w:pPr>
            <w:r>
              <w:rPr>
                <w:rFonts w:hint="eastAsia"/>
                <w:sz w:val="24"/>
                <w:szCs w:val="32"/>
                <w:lang w:val="en-US" w:eastAsia="zh-CN"/>
              </w:rPr>
              <w:t>线路设计概述</w:t>
            </w:r>
          </w:p>
        </w:tc>
      </w:tr>
      <w:tr w14:paraId="2BCA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896" w:type="dxa"/>
            <w:vAlign w:val="center"/>
          </w:tcPr>
          <w:p w14:paraId="49801967">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授课类型</w:t>
            </w:r>
          </w:p>
        </w:tc>
        <w:tc>
          <w:tcPr>
            <w:tcW w:w="6626" w:type="dxa"/>
            <w:gridSpan w:val="3"/>
            <w:vAlign w:val="center"/>
          </w:tcPr>
          <w:p w14:paraId="72300179">
            <w:pPr>
              <w:ind w:firstLine="960" w:firstLineChars="400"/>
              <w:jc w:val="center"/>
              <w:rPr>
                <w:rFonts w:hint="default" w:asciiTheme="minorEastAsia" w:hAnsiTheme="minorEastAsia" w:eastAsiaTheme="minorEastAsia" w:cstheme="minorEastAsia"/>
                <w:sz w:val="36"/>
                <w:szCs w:val="36"/>
                <w:vertAlign w:val="baseline"/>
                <w:lang w:val="en-US" w:eastAsia="zh-CN"/>
              </w:rPr>
            </w:pPr>
            <w:r>
              <w:rPr>
                <w:rFonts w:hint="eastAsia" w:ascii="仿宋" w:hAnsi="仿宋" w:eastAsia="仿宋" w:cs="仿宋"/>
                <w:sz w:val="24"/>
                <w:szCs w:val="24"/>
                <w:vertAlign w:val="baseline"/>
                <w:lang w:val="en-US" w:eastAsia="zh-CN"/>
              </w:rPr>
              <w:t>理论( √ )      实践(   )</w:t>
            </w:r>
          </w:p>
        </w:tc>
      </w:tr>
      <w:tr w14:paraId="5F3B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6" w:type="dxa"/>
            <w:vAlign w:val="center"/>
          </w:tcPr>
          <w:p w14:paraId="58D578B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教学目的</w:t>
            </w:r>
          </w:p>
          <w:p w14:paraId="72BEB38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与要求</w:t>
            </w:r>
          </w:p>
        </w:tc>
        <w:tc>
          <w:tcPr>
            <w:tcW w:w="6626" w:type="dxa"/>
            <w:gridSpan w:val="3"/>
            <w:vAlign w:val="center"/>
          </w:tcPr>
          <w:p w14:paraId="129B8B04">
            <w:pPr>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教学目的</w:t>
            </w:r>
            <w:r>
              <w:rPr>
                <w:rFonts w:hint="eastAsia" w:ascii="仿宋" w:hAnsi="仿宋" w:eastAsia="仿宋" w:cs="仿宋"/>
                <w:color w:val="auto"/>
                <w:kern w:val="0"/>
                <w:sz w:val="24"/>
                <w:szCs w:val="24"/>
              </w:rPr>
              <w:t>】</w:t>
            </w:r>
          </w:p>
          <w:p w14:paraId="3382F275">
            <w:pPr>
              <w:numPr>
                <w:ilvl w:val="0"/>
                <w:numId w:val="1"/>
              </w:numPr>
              <w:jc w:val="both"/>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了解线路设计在城市轨道交通建设流程中的位置；</w:t>
            </w:r>
          </w:p>
          <w:p w14:paraId="17207576">
            <w:pPr>
              <w:numPr>
                <w:ilvl w:val="0"/>
                <w:numId w:val="1"/>
              </w:numPr>
              <w:jc w:val="both"/>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了解轨道交通线路设计主要内容；</w:t>
            </w:r>
          </w:p>
          <w:p w14:paraId="114E62D7">
            <w:pPr>
              <w:numPr>
                <w:ilvl w:val="0"/>
                <w:numId w:val="1"/>
              </w:numPr>
              <w:ind w:left="0" w:leftChars="0" w:firstLine="0" w:firstLineChars="0"/>
              <w:jc w:val="both"/>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理解掌握线路敷设方式的选择，线路平面位置的选择；</w:t>
            </w:r>
          </w:p>
          <w:p w14:paraId="2EC69EDC">
            <w:pPr>
              <w:numPr>
                <w:ilvl w:val="0"/>
                <w:numId w:val="1"/>
              </w:numPr>
              <w:ind w:left="0" w:leftChars="0" w:firstLine="0" w:firstLineChars="0"/>
              <w:jc w:val="both"/>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掌握轨道交通线路中线的确定；</w:t>
            </w:r>
          </w:p>
          <w:p w14:paraId="02A1D11B">
            <w:pPr>
              <w:numPr>
                <w:ilvl w:val="0"/>
                <w:numId w:val="1"/>
              </w:numPr>
              <w:ind w:left="0" w:leftChars="0" w:firstLine="0" w:firstLineChars="0"/>
              <w:jc w:val="both"/>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识记线路平面设计的基本线形；</w:t>
            </w:r>
          </w:p>
          <w:p w14:paraId="24ACF996">
            <w:pPr>
              <w:numPr>
                <w:ilvl w:val="0"/>
                <w:numId w:val="1"/>
              </w:numPr>
              <w:ind w:left="0" w:leftChars="0" w:firstLine="0" w:firstLineChars="0"/>
              <w:jc w:val="both"/>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培养对轨道交通的认同和热爱，培养城市轨道交通线路平面设计的工程师素养。</w:t>
            </w:r>
          </w:p>
          <w:p w14:paraId="1CB25F43">
            <w:pPr>
              <w:jc w:val="both"/>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教学要求</w:t>
            </w:r>
            <w:r>
              <w:rPr>
                <w:rFonts w:hint="eastAsia" w:ascii="仿宋" w:hAnsi="仿宋" w:eastAsia="仿宋" w:cs="仿宋"/>
                <w:color w:val="auto"/>
                <w:kern w:val="0"/>
                <w:sz w:val="24"/>
                <w:szCs w:val="24"/>
              </w:rPr>
              <w:t>】</w:t>
            </w:r>
          </w:p>
          <w:p w14:paraId="0DA878A0">
            <w:pPr>
              <w:numPr>
                <w:ilvl w:val="0"/>
                <w:numId w:val="2"/>
              </w:numPr>
              <w:jc w:val="both"/>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采用浅显易懂的语言及举例的方法将晦涩的理论讲解清楚；</w:t>
            </w:r>
          </w:p>
          <w:p w14:paraId="7189D92A">
            <w:pPr>
              <w:numPr>
                <w:ilvl w:val="0"/>
                <w:numId w:val="2"/>
              </w:numPr>
              <w:jc w:val="both"/>
              <w:rPr>
                <w:rFonts w:hint="default" w:ascii="仿宋_GB2312" w:hAnsi="华文仿宋" w:eastAsia="仿宋_GB2312"/>
                <w:color w:val="auto"/>
                <w:kern w:val="0"/>
                <w:sz w:val="24"/>
                <w:szCs w:val="24"/>
                <w:lang w:val="en-US" w:eastAsia="zh-CN"/>
              </w:rPr>
            </w:pPr>
            <w:r>
              <w:rPr>
                <w:rFonts w:hint="eastAsia" w:ascii="仿宋" w:hAnsi="仿宋" w:eastAsia="仿宋" w:cs="仿宋"/>
                <w:color w:val="auto"/>
                <w:kern w:val="0"/>
                <w:sz w:val="24"/>
                <w:szCs w:val="24"/>
                <w:lang w:val="en-US" w:eastAsia="zh-CN"/>
              </w:rPr>
              <w:t>通过图片、视频方式增加学生的学习兴趣，加深对概念原理的直观理解。</w:t>
            </w:r>
          </w:p>
        </w:tc>
      </w:tr>
      <w:tr w14:paraId="706B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96" w:type="dxa"/>
            <w:vAlign w:val="center"/>
          </w:tcPr>
          <w:p w14:paraId="5E38EAE5">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教学重点</w:t>
            </w:r>
          </w:p>
        </w:tc>
        <w:tc>
          <w:tcPr>
            <w:tcW w:w="6626" w:type="dxa"/>
            <w:gridSpan w:val="3"/>
            <w:vAlign w:val="center"/>
          </w:tcPr>
          <w:p w14:paraId="1C7FA733">
            <w:pPr>
              <w:numPr>
                <w:ilvl w:val="0"/>
                <w:numId w:val="0"/>
              </w:numPr>
              <w:jc w:val="both"/>
              <w:rPr>
                <w:rFonts w:hint="default" w:ascii="仿宋" w:hAnsi="仿宋" w:eastAsia="仿宋" w:cs="仿宋"/>
                <w:sz w:val="24"/>
                <w:szCs w:val="24"/>
                <w:vertAlign w:val="baseline"/>
                <w:lang w:val="en-US" w:eastAsia="zh-CN"/>
              </w:rPr>
            </w:pPr>
            <w:r>
              <w:rPr>
                <w:rFonts w:hint="eastAsia" w:ascii="仿宋" w:hAnsi="仿宋" w:eastAsia="仿宋" w:cs="仿宋"/>
                <w:color w:val="auto"/>
                <w:kern w:val="0"/>
                <w:sz w:val="24"/>
                <w:szCs w:val="24"/>
                <w:lang w:val="en-US" w:eastAsia="zh-CN"/>
              </w:rPr>
              <w:t>路敷设方式的选择，线路平面位置的选择，轨道交通线路设计内容，线路平面设计的基本线形。</w:t>
            </w:r>
          </w:p>
        </w:tc>
      </w:tr>
      <w:tr w14:paraId="3F58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896" w:type="dxa"/>
            <w:vAlign w:val="center"/>
          </w:tcPr>
          <w:p w14:paraId="3D010657">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教学难点</w:t>
            </w:r>
          </w:p>
        </w:tc>
        <w:tc>
          <w:tcPr>
            <w:tcW w:w="6626" w:type="dxa"/>
            <w:gridSpan w:val="3"/>
            <w:vAlign w:val="center"/>
          </w:tcPr>
          <w:p w14:paraId="0DDE9B6C">
            <w:pPr>
              <w:jc w:val="both"/>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无</w:t>
            </w:r>
          </w:p>
        </w:tc>
      </w:tr>
      <w:tr w14:paraId="1F42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896" w:type="dxa"/>
            <w:vAlign w:val="center"/>
          </w:tcPr>
          <w:p w14:paraId="6183F610">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教学方法</w:t>
            </w:r>
          </w:p>
        </w:tc>
        <w:tc>
          <w:tcPr>
            <w:tcW w:w="6626" w:type="dxa"/>
            <w:gridSpan w:val="3"/>
            <w:vAlign w:val="center"/>
          </w:tcPr>
          <w:p w14:paraId="7E107AF5">
            <w:pPr>
              <w:jc w:val="center"/>
              <w:rPr>
                <w:rFonts w:hint="default" w:asciiTheme="minorEastAsia" w:hAnsiTheme="minorEastAsia" w:eastAsiaTheme="minorEastAsia" w:cstheme="minorEastAsia"/>
                <w:sz w:val="36"/>
                <w:szCs w:val="36"/>
                <w:vertAlign w:val="baseline"/>
                <w:lang w:val="en-US" w:eastAsia="zh-CN"/>
              </w:rPr>
            </w:pPr>
            <w:r>
              <w:rPr>
                <w:rFonts w:hint="eastAsia" w:ascii="仿宋" w:hAnsi="仿宋" w:eastAsia="仿宋" w:cs="仿宋"/>
                <w:sz w:val="24"/>
                <w:szCs w:val="24"/>
              </w:rPr>
              <w:t>讲授法</w:t>
            </w:r>
          </w:p>
        </w:tc>
      </w:tr>
      <w:tr w14:paraId="1A0C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96" w:type="dxa"/>
            <w:vAlign w:val="center"/>
          </w:tcPr>
          <w:p w14:paraId="3DD79A7A">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教具仪器</w:t>
            </w:r>
          </w:p>
        </w:tc>
        <w:tc>
          <w:tcPr>
            <w:tcW w:w="6626" w:type="dxa"/>
            <w:gridSpan w:val="3"/>
            <w:vAlign w:val="center"/>
          </w:tcPr>
          <w:p w14:paraId="44D16938">
            <w:pPr>
              <w:jc w:val="center"/>
              <w:rPr>
                <w:rFonts w:hint="eastAsia" w:eastAsia="仿宋" w:asciiTheme="minorEastAsia" w:hAnsiTheme="minorEastAsia" w:cstheme="minorEastAsia"/>
                <w:sz w:val="36"/>
                <w:szCs w:val="36"/>
                <w:vertAlign w:val="baseline"/>
                <w:lang w:val="en-US" w:eastAsia="zh-CN"/>
              </w:rPr>
            </w:pPr>
            <w:r>
              <w:rPr>
                <w:rFonts w:hint="eastAsia" w:ascii="仿宋" w:hAnsi="仿宋" w:eastAsia="仿宋" w:cs="仿宋"/>
                <w:sz w:val="24"/>
                <w:szCs w:val="24"/>
              </w:rPr>
              <w:t>多媒体</w:t>
            </w:r>
            <w:r>
              <w:rPr>
                <w:rFonts w:hint="eastAsia" w:ascii="仿宋" w:hAnsi="仿宋" w:eastAsia="仿宋" w:cs="仿宋"/>
                <w:sz w:val="24"/>
                <w:szCs w:val="24"/>
                <w:lang w:val="en-US" w:eastAsia="zh-CN"/>
              </w:rPr>
              <w:t>设备</w:t>
            </w:r>
          </w:p>
        </w:tc>
      </w:tr>
      <w:tr w14:paraId="3931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1896" w:type="dxa"/>
            <w:vAlign w:val="center"/>
          </w:tcPr>
          <w:p w14:paraId="574BA5FF">
            <w:pPr>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教学设计</w:t>
            </w:r>
          </w:p>
        </w:tc>
        <w:tc>
          <w:tcPr>
            <w:tcW w:w="6626" w:type="dxa"/>
            <w:gridSpan w:val="3"/>
            <w:vAlign w:val="center"/>
          </w:tcPr>
          <w:p w14:paraId="616B130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课堂教学5环节：</w:t>
            </w:r>
          </w:p>
          <w:p w14:paraId="2D65063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楷体" w:hAnsi="楷体" w:eastAsia="楷体" w:cs="楷体"/>
                <w:sz w:val="24"/>
                <w:szCs w:val="32"/>
                <w:lang w:val="en-US" w:eastAsia="zh-CN"/>
              </w:rPr>
            </w:pPr>
            <w:r>
              <w:rPr>
                <w:rFonts w:hint="eastAsia" w:ascii="仿宋" w:hAnsi="仿宋" w:eastAsia="仿宋" w:cs="仿宋"/>
                <w:sz w:val="24"/>
                <w:szCs w:val="32"/>
                <w:lang w:val="en-US" w:eastAsia="zh-CN"/>
              </w:rPr>
              <w:t>Ⅰ.复习提问+引入课题</w:t>
            </w:r>
          </w:p>
          <w:p w14:paraId="03D3FFB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复习城市轨道交通建设的流程，复习各阶段的工作，引出“线路设计”这一主题。</w:t>
            </w:r>
          </w:p>
          <w:p w14:paraId="31CA317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Ⅱ.讲授课题</w:t>
            </w:r>
          </w:p>
          <w:p w14:paraId="47BB4E90">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线路设计的主要工作内容</w:t>
            </w:r>
          </w:p>
          <w:p w14:paraId="7B4483F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1.1什么是线路设计</w:t>
            </w:r>
          </w:p>
          <w:p w14:paraId="278D5A6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default" w:ascii="楷体" w:hAnsi="楷体" w:eastAsia="楷体" w:cs="楷体"/>
                <w:sz w:val="24"/>
                <w:szCs w:val="32"/>
                <w:lang w:val="en-US" w:eastAsia="zh-CN"/>
              </w:rPr>
            </w:pPr>
            <w:r>
              <w:rPr>
                <w:rFonts w:hint="eastAsia" w:ascii="楷体" w:hAnsi="楷体" w:eastAsia="楷体" w:cs="楷体"/>
                <w:sz w:val="24"/>
                <w:szCs w:val="32"/>
                <w:lang w:val="en-US" w:eastAsia="zh-CN"/>
              </w:rPr>
              <w:t>1.2线路设计的主要内容</w:t>
            </w:r>
          </w:p>
          <w:p w14:paraId="05796E18">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线路敷设方式选择</w:t>
            </w:r>
          </w:p>
          <w:p w14:paraId="154BFB8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2.1地下线</w:t>
            </w:r>
          </w:p>
          <w:p w14:paraId="3ABA5DD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2.2高架线</w:t>
            </w:r>
          </w:p>
          <w:p w14:paraId="69DE294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2.3地面线</w:t>
            </w:r>
          </w:p>
          <w:p w14:paraId="7A3F506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default" w:ascii="楷体" w:hAnsi="楷体" w:eastAsia="楷体" w:cs="楷体"/>
                <w:sz w:val="24"/>
                <w:szCs w:val="32"/>
                <w:lang w:val="en-US" w:eastAsia="zh-CN"/>
              </w:rPr>
            </w:pPr>
            <w:r>
              <w:rPr>
                <w:rFonts w:hint="eastAsia" w:ascii="楷体" w:hAnsi="楷体" w:eastAsia="楷体" w:cs="楷体"/>
                <w:sz w:val="24"/>
                <w:szCs w:val="32"/>
                <w:lang w:val="en-US" w:eastAsia="zh-CN"/>
              </w:rPr>
              <w:t>2.4敞开式道路</w:t>
            </w:r>
          </w:p>
          <w:p w14:paraId="15338E42">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线路平面位置选择</w:t>
            </w:r>
          </w:p>
          <w:p w14:paraId="0D44C3F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3.1地下线路平面位置</w:t>
            </w:r>
          </w:p>
          <w:p w14:paraId="76494B0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3.2高架线路平面位置</w:t>
            </w:r>
          </w:p>
          <w:p w14:paraId="599B6A0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default" w:ascii="楷体" w:hAnsi="楷体" w:eastAsia="楷体" w:cs="楷体"/>
                <w:sz w:val="24"/>
                <w:szCs w:val="32"/>
                <w:lang w:val="en-US" w:eastAsia="zh-CN"/>
              </w:rPr>
            </w:pPr>
            <w:r>
              <w:rPr>
                <w:rFonts w:hint="eastAsia" w:ascii="楷体" w:hAnsi="楷体" w:eastAsia="楷体" w:cs="楷体"/>
                <w:sz w:val="24"/>
                <w:szCs w:val="32"/>
                <w:lang w:val="en-US" w:eastAsia="zh-CN"/>
              </w:rPr>
              <w:t>3.3地面线平面位置</w:t>
            </w:r>
          </w:p>
          <w:p w14:paraId="4C36952E">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default" w:ascii="楷体" w:hAnsi="楷体" w:eastAsia="楷体" w:cs="楷体"/>
                <w:sz w:val="24"/>
                <w:szCs w:val="32"/>
                <w:lang w:val="en-US" w:eastAsia="zh-CN"/>
              </w:rPr>
            </w:pPr>
            <w:r>
              <w:rPr>
                <w:rFonts w:hint="eastAsia" w:ascii="仿宋" w:hAnsi="仿宋" w:eastAsia="仿宋" w:cs="仿宋"/>
                <w:sz w:val="24"/>
                <w:szCs w:val="32"/>
                <w:lang w:val="en-US" w:eastAsia="zh-CN"/>
              </w:rPr>
              <w:t>轨道交通线路中线的确定</w:t>
            </w:r>
          </w:p>
          <w:p w14:paraId="7F30DBE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5.轨道交通线路设计内容</w:t>
            </w:r>
          </w:p>
          <w:p w14:paraId="7319552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6.轨道交通线路平面设计基本线形</w:t>
            </w:r>
          </w:p>
          <w:p w14:paraId="6E02B3D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Ⅲ.总结归纳</w:t>
            </w:r>
          </w:p>
          <w:p w14:paraId="49A6205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适度总结</w:t>
            </w:r>
          </w:p>
          <w:p w14:paraId="3F18E99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default"/>
                <w:sz w:val="24"/>
                <w:szCs w:val="32"/>
                <w:lang w:val="en-US" w:eastAsia="zh-CN"/>
              </w:rPr>
            </w:pPr>
            <w:r>
              <w:rPr>
                <w:rFonts w:hint="eastAsia" w:ascii="仿宋" w:hAnsi="仿宋" w:eastAsia="仿宋" w:cs="仿宋"/>
                <w:sz w:val="24"/>
                <w:szCs w:val="32"/>
                <w:lang w:val="en-US" w:eastAsia="zh-CN"/>
              </w:rPr>
              <w:t>Ⅳ.课后作业</w:t>
            </w:r>
          </w:p>
          <w:p w14:paraId="69B60A1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default"/>
                <w:sz w:val="24"/>
                <w:szCs w:val="32"/>
                <w:lang w:val="en-US" w:eastAsia="zh-CN"/>
              </w:rPr>
            </w:pPr>
            <w:r>
              <w:rPr>
                <w:rFonts w:hint="eastAsia" w:ascii="楷体" w:hAnsi="楷体" w:eastAsia="楷体" w:cs="楷体"/>
                <w:sz w:val="24"/>
                <w:szCs w:val="32"/>
                <w:lang w:val="en-US" w:eastAsia="zh-CN"/>
              </w:rPr>
              <w:t>p31，p32，p43的任务自测</w:t>
            </w:r>
          </w:p>
        </w:tc>
      </w:tr>
      <w:tr w14:paraId="58DE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522" w:type="dxa"/>
            <w:gridSpan w:val="4"/>
            <w:tcBorders>
              <w:bottom w:val="single" w:color="auto" w:sz="4" w:space="0"/>
            </w:tcBorders>
            <w:vAlign w:val="center"/>
          </w:tcPr>
          <w:p w14:paraId="08616E64">
            <w:pPr>
              <w:keepNext w:val="0"/>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sz w:val="36"/>
                <w:szCs w:val="36"/>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教</w:t>
            </w:r>
            <w:r>
              <w:rPr>
                <w:rFonts w:hint="eastAsia" w:asciiTheme="minorEastAsia" w:hAnsiTheme="minorEastAsia" w:cstheme="minorEastAsia"/>
                <w:sz w:val="24"/>
                <w:szCs w:val="24"/>
                <w:vertAlign w:val="baseline"/>
                <w:lang w:val="en-US" w:eastAsia="zh-CN"/>
              </w:rPr>
              <w:t xml:space="preserve"> </w:t>
            </w:r>
            <w:r>
              <w:rPr>
                <w:rFonts w:hint="eastAsia" w:asciiTheme="minorEastAsia" w:hAnsiTheme="minorEastAsia" w:eastAsiaTheme="minorEastAsia" w:cstheme="minorEastAsia"/>
                <w:sz w:val="24"/>
                <w:szCs w:val="24"/>
                <w:vertAlign w:val="baseline"/>
                <w:lang w:val="en-US" w:eastAsia="zh-CN"/>
              </w:rPr>
              <w:t>学</w:t>
            </w:r>
            <w:r>
              <w:rPr>
                <w:rFonts w:hint="eastAsia" w:asciiTheme="minorEastAsia" w:hAnsiTheme="minorEastAsia" w:cstheme="minorEastAsia"/>
                <w:sz w:val="24"/>
                <w:szCs w:val="24"/>
                <w:vertAlign w:val="baseline"/>
                <w:lang w:val="en-US" w:eastAsia="zh-CN"/>
              </w:rPr>
              <w:t xml:space="preserve"> </w:t>
            </w:r>
            <w:r>
              <w:rPr>
                <w:rFonts w:hint="eastAsia" w:asciiTheme="minorEastAsia" w:hAnsiTheme="minorEastAsia" w:eastAsiaTheme="minorEastAsia" w:cstheme="minorEastAsia"/>
                <w:sz w:val="24"/>
                <w:szCs w:val="24"/>
                <w:vertAlign w:val="baseline"/>
                <w:lang w:val="en-US" w:eastAsia="zh-CN"/>
              </w:rPr>
              <w:t>过</w:t>
            </w:r>
            <w:r>
              <w:rPr>
                <w:rFonts w:hint="eastAsia" w:asciiTheme="minorEastAsia" w:hAnsiTheme="minorEastAsia" w:cstheme="minorEastAsia"/>
                <w:sz w:val="24"/>
                <w:szCs w:val="24"/>
                <w:vertAlign w:val="baseline"/>
                <w:lang w:val="en-US" w:eastAsia="zh-CN"/>
              </w:rPr>
              <w:t xml:space="preserve"> </w:t>
            </w:r>
            <w:r>
              <w:rPr>
                <w:rFonts w:hint="eastAsia" w:asciiTheme="minorEastAsia" w:hAnsiTheme="minorEastAsia" w:eastAsiaTheme="minorEastAsia" w:cstheme="minorEastAsia"/>
                <w:sz w:val="24"/>
                <w:szCs w:val="24"/>
                <w:vertAlign w:val="baseline"/>
                <w:lang w:val="en-US" w:eastAsia="zh-CN"/>
              </w:rPr>
              <w:t>程</w:t>
            </w:r>
          </w:p>
        </w:tc>
      </w:tr>
      <w:tr w14:paraId="43D2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226" w:type="dxa"/>
            <w:gridSpan w:val="3"/>
            <w:vMerge w:val="restart"/>
            <w:tcBorders>
              <w:top w:val="single" w:color="auto" w:sz="4" w:space="0"/>
              <w:left w:val="single" w:color="auto" w:sz="4" w:space="0"/>
              <w:bottom w:val="single" w:color="auto" w:sz="4" w:space="0"/>
            </w:tcBorders>
            <w:vAlign w:val="center"/>
          </w:tcPr>
          <w:p w14:paraId="2DA9529D">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default"/>
                <w:sz w:val="28"/>
                <w:szCs w:val="36"/>
                <w:lang w:val="en-US" w:eastAsia="zh-CN"/>
              </w:rPr>
            </w:pPr>
            <w:r>
              <w:rPr>
                <w:rFonts w:hint="eastAsia" w:ascii="仿宋" w:hAnsi="仿宋" w:eastAsia="仿宋" w:cs="仿宋"/>
                <w:sz w:val="28"/>
                <w:szCs w:val="36"/>
                <w:lang w:val="en-US" w:eastAsia="zh-CN"/>
              </w:rPr>
              <w:t>Ⅰ.复习提问+引入课题</w:t>
            </w:r>
          </w:p>
          <w:p w14:paraId="735BD492">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城市轨道交通的建设流程是什么?</w:t>
            </w:r>
          </w:p>
          <w:p w14:paraId="4BBD8E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规划——&gt;设计——&gt;建设——&gt;运营</w:t>
            </w:r>
          </w:p>
          <w:p w14:paraId="6B996A5A">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规划与设计阶段的主要工作内容是什么？</w:t>
            </w:r>
          </w:p>
          <w:p w14:paraId="56868C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2.1规划阶段</w:t>
            </w:r>
          </w:p>
          <w:p w14:paraId="47BD90C9">
            <w:pPr>
              <w:keepNext w:val="0"/>
              <w:keepLines w:val="0"/>
              <w:pageBreakBefore w:val="0"/>
              <w:widowControl w:val="0"/>
              <w:numPr>
                <w:ilvl w:val="2"/>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线网规划</w:t>
            </w:r>
          </w:p>
          <w:p w14:paraId="2822F8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根据城市实际情况，充分论证城市轨道交通建设必要性，科学确定发展目标（预期效果、功能定位）和线网规模，合理选择制式、敷设方式，明确建设时序，做好城市轨道交通与区域规划，重大交通基础设施规划，城市相关专项规划的绣线菊。包括明确线路走向，起讫点，线网换乘点，与其他交通枢纽的衔接点。</w:t>
            </w:r>
          </w:p>
          <w:p w14:paraId="12E34EF0">
            <w:pPr>
              <w:keepNext w:val="0"/>
              <w:keepLines w:val="0"/>
              <w:pageBreakBefore w:val="0"/>
              <w:widowControl w:val="0"/>
              <w:numPr>
                <w:ilvl w:val="2"/>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建设规划</w:t>
            </w:r>
          </w:p>
          <w:p w14:paraId="5C2EAF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①严格把关城市轨道交通的建设和申报条件</w:t>
            </w:r>
          </w:p>
          <w:p w14:paraId="0ABD91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②确定系统制式和线路敷设方式</w:t>
            </w:r>
          </w:p>
          <w:p w14:paraId="7E7BB3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③确定建设规模，项目时序，资金筹措方案</w:t>
            </w:r>
          </w:p>
          <w:p w14:paraId="2522D9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④做好城市轨道交通与其他方式的衔接融合</w:t>
            </w:r>
          </w:p>
          <w:p w14:paraId="78750A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⑤土地的综合高效利用，环境影响评价、风险管控等</w:t>
            </w:r>
          </w:p>
          <w:p w14:paraId="1D1599A8">
            <w:pPr>
              <w:keepNext w:val="0"/>
              <w:keepLines w:val="0"/>
              <w:pageBreakBefore w:val="0"/>
              <w:widowControl w:val="0"/>
              <w:numPr>
                <w:ilvl w:val="2"/>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可行性研究阶段（建设部门委托设计部门开展的工作）</w:t>
            </w:r>
          </w:p>
          <w:p w14:paraId="790182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（Ⅰ）预可行性阶段</w:t>
            </w:r>
          </w:p>
          <w:p w14:paraId="7AAB43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重点内容：线路的功能定位、建设必要性、</w:t>
            </w:r>
            <w:r>
              <w:rPr>
                <w:rFonts w:hint="eastAsia" w:ascii="仿宋" w:hAnsi="仿宋" w:eastAsia="仿宋" w:cs="仿宋"/>
                <w:b/>
                <w:bCs/>
                <w:color w:val="FF0000"/>
                <w:sz w:val="24"/>
                <w:szCs w:val="32"/>
                <w:lang w:val="en-US" w:eastAsia="zh-CN"/>
              </w:rPr>
              <w:t>路由方案</w:t>
            </w:r>
            <w:r>
              <w:rPr>
                <w:rFonts w:hint="eastAsia" w:ascii="仿宋" w:hAnsi="仿宋" w:eastAsia="仿宋" w:cs="仿宋"/>
                <w:sz w:val="24"/>
                <w:szCs w:val="32"/>
                <w:lang w:val="en-US" w:eastAsia="zh-CN"/>
              </w:rPr>
              <w:t>、车站与线路的敷设方式、车辆段的选址、车辆选型与编组、行车与运营组织方案、建设工程中的重、难点初步研究等，同时还会开展客流预测分析，环境影响报告、地质灾害危险性评估、地震安全评估等。</w:t>
            </w:r>
          </w:p>
          <w:p w14:paraId="25D444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（Ⅱ）工程可行性阶段</w:t>
            </w:r>
          </w:p>
          <w:p w14:paraId="234DF9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目的：为了更好地把握工程整体，避免出现失误，维护经济安全，合理开发利用资源，保护生态环境，优化重大布局，保护公共利益。涉及的方面：线路方面、运营层面、建筑专业、结构专业、设备专业、经济专业。</w:t>
            </w:r>
          </w:p>
          <w:p w14:paraId="17CDD0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2.2设计阶段</w:t>
            </w:r>
          </w:p>
          <w:p w14:paraId="44590A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2.2.1 总体设计</w:t>
            </w:r>
          </w:p>
          <w:p w14:paraId="7B5959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总体设计是线路设计工作的开始，设计20多个大专业。它是整个轨道交通建设周期中设计阶段的关键节点，是在“工程可行性研究报告”及国家审查意见基础上，结合建设外部条件，对工程方案，技术标准和要求进行深化研究和系统比较。具体而言：</w:t>
            </w:r>
          </w:p>
          <w:p w14:paraId="67FFA0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①进一步稳定线路路由方案，车站设备，深化研究重难点工程；</w:t>
            </w:r>
          </w:p>
          <w:p w14:paraId="71F88C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②确定各专业化子系统间的横向技术接口；</w:t>
            </w:r>
          </w:p>
          <w:p w14:paraId="6A9BFA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③统一整个工程的设计原则和技术标准；</w:t>
            </w:r>
          </w:p>
          <w:p w14:paraId="3B0D85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④划分工程单元，筹划合理工期；</w:t>
            </w:r>
          </w:p>
          <w:p w14:paraId="4920D0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⑤控制工程总投资。</w:t>
            </w:r>
          </w:p>
          <w:p w14:paraId="3CB7ED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2.2.2 初步设计阶段</w:t>
            </w:r>
          </w:p>
          <w:p w14:paraId="52A7A5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是设计工作的进一步深化，与总体相比，各专业衔接配合更加密切、细致，内容更繁琐，审核更严格。</w:t>
            </w:r>
          </w:p>
          <w:p w14:paraId="2E8DF6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2.2.3 施工图阶段</w:t>
            </w:r>
          </w:p>
          <w:p w14:paraId="20ABDA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这是施工前的最后一个环节，这一阶段的主要任务是保质保量地出图。</w:t>
            </w:r>
          </w:p>
          <w:p w14:paraId="62121F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sz w:val="28"/>
                <w:szCs w:val="36"/>
                <w:lang w:val="en-US" w:eastAsia="zh-CN"/>
              </w:rPr>
            </w:pPr>
            <w:r>
              <w:rPr>
                <w:rFonts w:hint="eastAsia" w:ascii="仿宋" w:hAnsi="仿宋" w:eastAsia="仿宋" w:cs="仿宋"/>
                <w:sz w:val="28"/>
                <w:szCs w:val="36"/>
                <w:lang w:val="en-US" w:eastAsia="zh-CN"/>
              </w:rPr>
              <w:t>Ⅱ.课题讲授</w:t>
            </w:r>
          </w:p>
          <w:p w14:paraId="13D46797">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线路设计的主要工作内容</w:t>
            </w:r>
          </w:p>
          <w:p w14:paraId="3994894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1.1什么是线路设计</w:t>
            </w:r>
          </w:p>
          <w:p w14:paraId="5A0A9E1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轨道交通线路设计主要是合理运用相应的技术标准，通过方案的比选，确定线路走向下，车站分布，并通过平、横、纵断面设计，用坐标，高程精确地确定线路的位置。</w:t>
            </w:r>
          </w:p>
          <w:p w14:paraId="06C2066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1.2线路设计的主要内容</w:t>
            </w:r>
          </w:p>
          <w:p w14:paraId="69B2A60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（1）线路平面设计</w:t>
            </w:r>
          </w:p>
          <w:p w14:paraId="1BD5C2A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平面是线路中心线在水平面上的投影，表示线路途径的地段。线路平面设计是在确定线路路由的情况下，对线路的平面走向，车站位置及配线进行详细分析和计算，最终确定线路在水平面的准确位置。</w:t>
            </w:r>
          </w:p>
          <w:p w14:paraId="41E3D46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从平面看，线路由直线和曲线组成，曲线包括圆曲线和缓和曲线。</w:t>
            </w:r>
          </w:p>
          <w:p w14:paraId="16347822">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纵断面设计</w:t>
            </w:r>
          </w:p>
          <w:p w14:paraId="1DAE588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纵断面是指沿线路中心线所在的铅垂刨面在纵向展直后线路中心线的立面图，表示线路的起伏情况。</w:t>
            </w:r>
          </w:p>
          <w:p w14:paraId="62661402">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横断面设计</w:t>
            </w:r>
          </w:p>
          <w:p w14:paraId="19FE262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横断面是垂直于线路中心线的截取的断面。一般由城市轨道交通限界和施工方法决定。</w:t>
            </w:r>
          </w:p>
          <w:p w14:paraId="2875F928">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配线设计</w:t>
            </w:r>
          </w:p>
          <w:p w14:paraId="69AAC44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配线设计主要是在线位、站位确定后，根据运营组织要求和工程条件设计各类配线的布设形式和参数，以方便行车组织和调度，减少车站规模和节省工程造价。</w:t>
            </w:r>
          </w:p>
          <w:p w14:paraId="2856B1A8">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线路敷设方式选择</w:t>
            </w:r>
          </w:p>
          <w:p w14:paraId="0EED9DC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2.1地下线</w:t>
            </w:r>
          </w:p>
          <w:p w14:paraId="7B7E731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地下线是城市轨道交通线路在交通繁忙路段和市区内繁华地段主要采用的线路敷设方式，其线路设计的一般原则是线位尽可能沿城市道路敷设，尽量不侵入两侧的规划红线，在偏离道路或穿越街坊时，主要考虑躲避沿线的构筑物桩基础和地下各种市政管线，以确保安全和减少拆迁。</w:t>
            </w:r>
          </w:p>
          <w:p w14:paraId="60605DD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1649095" cy="1052830"/>
                  <wp:effectExtent l="0" t="0" r="8255" b="1397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6"/>
                          <a:stretch>
                            <a:fillRect/>
                          </a:stretch>
                        </pic:blipFill>
                        <pic:spPr>
                          <a:xfrm>
                            <a:off x="0" y="0"/>
                            <a:ext cx="1649095" cy="1052830"/>
                          </a:xfrm>
                          <a:prstGeom prst="rect">
                            <a:avLst/>
                          </a:prstGeom>
                        </pic:spPr>
                      </pic:pic>
                    </a:graphicData>
                  </a:graphic>
                </wp:inline>
              </w:drawing>
            </w:r>
          </w:p>
          <w:p w14:paraId="697BF9B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地下线的施工方法主要有明挖法、暗挖法等。如图所示为单圆盾构区间隧道和双圆盾构隧道的横剖面，它们都属于暗挖法中的盾构法。</w:t>
            </w:r>
          </w:p>
          <w:p w14:paraId="51A0E8F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3779520" cy="1713230"/>
                  <wp:effectExtent l="0" t="0" r="11430" b="127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3779520" cy="1713230"/>
                          </a:xfrm>
                          <a:prstGeom prst="rect">
                            <a:avLst/>
                          </a:prstGeom>
                        </pic:spPr>
                      </pic:pic>
                    </a:graphicData>
                  </a:graphic>
                </wp:inline>
              </w:drawing>
            </w:r>
          </w:p>
          <w:p w14:paraId="596000A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3779520" cy="2042160"/>
                  <wp:effectExtent l="0" t="0" r="0" b="1524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3779520" cy="2042160"/>
                          </a:xfrm>
                          <a:prstGeom prst="rect">
                            <a:avLst/>
                          </a:prstGeom>
                        </pic:spPr>
                      </pic:pic>
                    </a:graphicData>
                  </a:graphic>
                </wp:inline>
              </w:drawing>
            </w:r>
          </w:p>
          <w:p w14:paraId="1A51029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地下线设计时应注意以下因素：</w:t>
            </w:r>
          </w:p>
          <w:p w14:paraId="21FC45A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（1）穿越河流地段时，要了解河道的现有河底高程和规划河底高程，然后根据隧道的工法确定隧道结构顶与河底的安全距离。</w:t>
            </w:r>
          </w:p>
          <w:p w14:paraId="33A2685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（2）要探明地下市政管线，以合理确定线位和站位，尽量减少管线拆迁改移；尤其对一些重要的管线如军缆、雨污水管等，因搬迁困难、影响大、费用高，应尽量躲避。</w:t>
            </w:r>
          </w:p>
          <w:p w14:paraId="5395E5A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（3）线路经过有桩基的建筑物时，要探明桩基类型和深度，以确定采用的施工方法和安全距离，并根据建筑物性质采用合理的加固保护措施，确保工程安全。</w:t>
            </w:r>
          </w:p>
          <w:p w14:paraId="23136FF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（4）线位应尽量布置在城市道路红线以内，隧道体不要侵入道路两侧的地块，以避免影响两侧土地的开发利用。</w:t>
            </w:r>
          </w:p>
          <w:p w14:paraId="6C12757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2.2高架线</w:t>
            </w:r>
          </w:p>
          <w:p w14:paraId="3DF0C90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高架线适用于市区外建筑稀少及空间开阔的地段，如图所示。其线位一般沿道路的一侧或路中布置，具体设在路侧还是路中要根据规划和设站情况来决定，并结合具体情况做深入研究和经济比较。</w:t>
            </w:r>
          </w:p>
          <w:p w14:paraId="3CF127D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2330450" cy="1556385"/>
                  <wp:effectExtent l="0" t="0" r="12700" b="5715"/>
                  <wp:docPr id="7" name="图片 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4"/>
                          <pic:cNvPicPr>
                            <a:picLocks noChangeAspect="1"/>
                          </pic:cNvPicPr>
                        </pic:nvPicPr>
                        <pic:blipFill>
                          <a:blip r:embed="rId9"/>
                          <a:stretch>
                            <a:fillRect/>
                          </a:stretch>
                        </pic:blipFill>
                        <pic:spPr>
                          <a:xfrm>
                            <a:off x="0" y="0"/>
                            <a:ext cx="2330450" cy="1556385"/>
                          </a:xfrm>
                          <a:prstGeom prst="rect">
                            <a:avLst/>
                          </a:prstGeom>
                        </pic:spPr>
                      </pic:pic>
                    </a:graphicData>
                  </a:graphic>
                </wp:inline>
              </w:drawing>
            </w:r>
          </w:p>
          <w:p w14:paraId="7660024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rPr>
            </w:pPr>
            <w:r>
              <w:rPr>
                <w:rFonts w:hint="eastAsia" w:ascii="仿宋" w:hAnsi="仿宋" w:eastAsia="仿宋" w:cs="仿宋"/>
              </w:rPr>
              <w:drawing>
                <wp:inline distT="0" distB="0" distL="114300" distR="114300">
                  <wp:extent cx="4232275" cy="1271905"/>
                  <wp:effectExtent l="0" t="0" r="15875" b="4445"/>
                  <wp:docPr id="4098" name="Picture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2-2"/>
                          <pic:cNvPicPr>
                            <a:picLocks noChangeAspect="1" noChangeArrowheads="1"/>
                          </pic:cNvPicPr>
                        </pic:nvPicPr>
                        <pic:blipFill>
                          <a:blip r:embed="rId10" cstate="print">
                            <a:clrChange>
                              <a:clrFrom>
                                <a:srgbClr val="FFFFFE"/>
                              </a:clrFrom>
                              <a:clrTo>
                                <a:srgbClr val="FFFFFE">
                                  <a:alpha val="0"/>
                                </a:srgbClr>
                              </a:clrTo>
                            </a:clrChange>
                            <a:extLst>
                              <a:ext uri="{28A0092B-C50C-407E-A947-70E740481C1C}">
                                <a14:useLocalDpi xmlns:a14="http://schemas.microsoft.com/office/drawing/2010/main" val="0"/>
                              </a:ext>
                            </a:extLst>
                          </a:blip>
                          <a:srcRect b="67007"/>
                          <a:stretch>
                            <a:fillRect/>
                          </a:stretch>
                        </pic:blipFill>
                        <pic:spPr>
                          <a:xfrm>
                            <a:off x="0" y="0"/>
                            <a:ext cx="4232275" cy="1271905"/>
                          </a:xfrm>
                          <a:prstGeom prst="rect">
                            <a:avLst/>
                          </a:prstGeom>
                          <a:noFill/>
                          <a:ln>
                            <a:noFill/>
                          </a:ln>
                        </pic:spPr>
                      </pic:pic>
                    </a:graphicData>
                  </a:graphic>
                </wp:inline>
              </w:drawing>
            </w:r>
          </w:p>
          <w:p w14:paraId="49A1D97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rPr>
            </w:pPr>
            <w:r>
              <w:rPr>
                <w:rFonts w:hint="eastAsia" w:ascii="仿宋" w:hAnsi="仿宋" w:eastAsia="仿宋" w:cs="仿宋"/>
              </w:rPr>
              <w:drawing>
                <wp:inline distT="0" distB="0" distL="114300" distR="114300">
                  <wp:extent cx="3928110" cy="1724025"/>
                  <wp:effectExtent l="0" t="0" r="0" b="9525"/>
                  <wp:docPr id="4099" name="Picture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2-2"/>
                          <pic:cNvPicPr>
                            <a:picLocks noChangeAspect="1" noChangeArrowheads="1"/>
                          </pic:cNvPicPr>
                        </pic:nvPicPr>
                        <pic:blipFill>
                          <a:blip r:embed="rId10" cstate="print">
                            <a:clrChange>
                              <a:clrFrom>
                                <a:srgbClr val="FFFFFE"/>
                              </a:clrFrom>
                              <a:clrTo>
                                <a:srgbClr val="FFFFFE">
                                  <a:alpha val="0"/>
                                </a:srgbClr>
                              </a:clrTo>
                            </a:clrChange>
                            <a:extLst>
                              <a:ext uri="{28A0092B-C50C-407E-A947-70E740481C1C}">
                                <a14:useLocalDpi xmlns:a14="http://schemas.microsoft.com/office/drawing/2010/main" val="0"/>
                              </a:ext>
                            </a:extLst>
                          </a:blip>
                          <a:srcRect t="51825"/>
                          <a:stretch>
                            <a:fillRect/>
                          </a:stretch>
                        </pic:blipFill>
                        <pic:spPr>
                          <a:xfrm>
                            <a:off x="0" y="0"/>
                            <a:ext cx="3928110" cy="1724025"/>
                          </a:xfrm>
                          <a:prstGeom prst="rect">
                            <a:avLst/>
                          </a:prstGeom>
                          <a:noFill/>
                          <a:ln>
                            <a:noFill/>
                          </a:ln>
                        </pic:spPr>
                      </pic:pic>
                    </a:graphicData>
                  </a:graphic>
                </wp:inline>
              </w:drawing>
            </w:r>
          </w:p>
          <w:p w14:paraId="5CAC755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lang w:val="en-US" w:eastAsia="zh-CN"/>
              </w:rPr>
            </w:pPr>
            <w:r>
              <w:rPr>
                <w:rFonts w:hint="eastAsia" w:ascii="仿宋" w:hAnsi="仿宋" w:eastAsia="仿宋" w:cs="仿宋"/>
                <w:lang w:val="en-US" w:eastAsia="zh-CN"/>
              </w:rPr>
              <w:t>高架桥的选型，首先要满足列车安全行驶的要求，其次要考虑结构合理、经济适用，并结合城市规划、周围环境、施工方法等一系列因素来确定，既要达到美观协调的效果，又要容易施工。</w:t>
            </w:r>
          </w:p>
          <w:p w14:paraId="1F2DEDF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lang w:val="en-US" w:eastAsia="zh-CN"/>
              </w:rPr>
            </w:pPr>
            <w:r>
              <w:rPr>
                <w:rFonts w:hint="eastAsia" w:ascii="仿宋" w:hAnsi="仿宋" w:eastAsia="仿宋" w:cs="仿宋"/>
                <w:lang w:val="en-US" w:eastAsia="zh-CN"/>
              </w:rPr>
              <w:t>高架线的突出特点是：运营噪声大，对城市景观影响也较大，市区一般不采用。</w:t>
            </w:r>
          </w:p>
          <w:p w14:paraId="1BE30B8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lang w:val="en-US" w:eastAsia="zh-CN"/>
              </w:rPr>
            </w:pPr>
            <w:r>
              <w:rPr>
                <w:rFonts w:hint="eastAsia" w:ascii="仿宋" w:hAnsi="仿宋" w:eastAsia="仿宋" w:cs="仿宋"/>
                <w:lang w:val="en-US" w:eastAsia="zh-CN"/>
              </w:rPr>
              <w:t>高架线设计时应注意以下因素</w:t>
            </w:r>
          </w:p>
          <w:p w14:paraId="0C512D5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lang w:val="en-US" w:eastAsia="zh-CN"/>
              </w:rPr>
            </w:pPr>
            <w:r>
              <w:rPr>
                <w:rFonts w:hint="eastAsia" w:ascii="仿宋" w:hAnsi="仿宋" w:eastAsia="仿宋" w:cs="仿宋"/>
                <w:lang w:val="en-US" w:eastAsia="zh-CN"/>
              </w:rPr>
              <w:t>（1）应了解道路的规划位置和净空要求，以确定高架桥的桥底高度和跨度，要与河道管理部门和水务管理部门协调，了解河道的规划宽度、防洪要求和通航等级，以便确定梁下的净空高度和梁的跨度。</w:t>
            </w:r>
          </w:p>
          <w:p w14:paraId="74F092C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lang w:val="en-US" w:eastAsia="zh-CN"/>
              </w:rPr>
            </w:pPr>
            <w:r>
              <w:rPr>
                <w:rFonts w:hint="eastAsia" w:ascii="仿宋" w:hAnsi="仿宋" w:eastAsia="仿宋" w:cs="仿宋"/>
                <w:lang w:val="en-US" w:eastAsia="zh-CN"/>
              </w:rPr>
              <w:t>（2）线位距高楼房较近的地段，要充分考虑噪声和振动对周围楼房的影响，可考虑设置隔音屏，采用减振效果好的道床。对噪声和振动有特殊要求的，可考虑改为地下线或采取绕避。</w:t>
            </w:r>
          </w:p>
          <w:p w14:paraId="79DFAC6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2.3地面线</w:t>
            </w:r>
          </w:p>
          <w:p w14:paraId="1595D63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地面线是指在较空旷、道路和建筑物稀少的地带，采用类似普通铁路的路基作为轨道基础的线路形式。地面线的路基高度一般要高出通过地段的最高地下水位和当地50年一遇的暴雨积水水位，以避免路基出现淹没、翻浆冒泥而影响运营。</w:t>
            </w:r>
          </w:p>
          <w:p w14:paraId="2F5088D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地面线的优点是土建工程造价最低；其缺点是隔断线路两侧的交通，使线路两侧难以沟通，不利于两侧土地的商业开发利用，同时运营时噪声较大。此外，由于地面线的沉降变化较大，故多采用碎石道床，因此运营后养护维修工作量较大。</w:t>
            </w:r>
          </w:p>
          <w:p w14:paraId="06F80D8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2289175" cy="1520190"/>
                  <wp:effectExtent l="0" t="0" r="15875" b="3810"/>
                  <wp:docPr id="8"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5"/>
                          <pic:cNvPicPr>
                            <a:picLocks noChangeAspect="1"/>
                          </pic:cNvPicPr>
                        </pic:nvPicPr>
                        <pic:blipFill>
                          <a:blip r:embed="rId11"/>
                          <a:stretch>
                            <a:fillRect/>
                          </a:stretch>
                        </pic:blipFill>
                        <pic:spPr>
                          <a:xfrm>
                            <a:off x="0" y="0"/>
                            <a:ext cx="2289175" cy="1520190"/>
                          </a:xfrm>
                          <a:prstGeom prst="rect">
                            <a:avLst/>
                          </a:prstGeom>
                        </pic:spPr>
                      </pic:pic>
                    </a:graphicData>
                  </a:graphic>
                </wp:inline>
              </w:drawing>
            </w:r>
          </w:p>
          <w:p w14:paraId="6FE474A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drawing>
                <wp:inline distT="0" distB="0" distL="114300" distR="114300">
                  <wp:extent cx="4470400" cy="1104900"/>
                  <wp:effectExtent l="0" t="0" r="6350" b="0"/>
                  <wp:docPr id="5123" name="Picture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2-3"/>
                          <pic:cNvPicPr>
                            <a:picLocks noChangeAspect="1" noChangeArrowheads="1"/>
                          </pic:cNvPicPr>
                        </pic:nvPicPr>
                        <pic:blipFill>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a:xfrm>
                            <a:off x="0" y="0"/>
                            <a:ext cx="4470400" cy="1104900"/>
                          </a:xfrm>
                          <a:prstGeom prst="rect">
                            <a:avLst/>
                          </a:prstGeom>
                          <a:noFill/>
                          <a:ln>
                            <a:noFill/>
                          </a:ln>
                        </pic:spPr>
                      </pic:pic>
                    </a:graphicData>
                  </a:graphic>
                </wp:inline>
              </w:drawing>
            </w:r>
          </w:p>
          <w:p w14:paraId="02E89C3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地面线设计时应注意以下因素：</w:t>
            </w:r>
          </w:p>
          <w:p w14:paraId="367DE229">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要结合沿线土地的使用性质，从长远的规划上综合慎重考虑是否设置地面线。城市轨道交通的行车密度大，地面线要防护隔离，这将隔离线路两侧的联系，并带来较大的噪声。轨道交通是百年大计，不能因节省初期的建设投资而对沿线周围环境的发展造成不良的影响。</w:t>
            </w:r>
          </w:p>
          <w:p w14:paraId="0ABD454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（2）在南方地区要充分考虑路基的防淹和排水问题，以确保线路的运营安全。调查收集当地的暴雨积水强度，以确定最小路肩高程。</w:t>
            </w:r>
          </w:p>
          <w:p w14:paraId="0780607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2.4敞开式道路</w:t>
            </w:r>
          </w:p>
          <w:p w14:paraId="5E7B7B6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敞开式是线位由地下线过渡为地面线或高架线时的一种过渡形式，一般包括U形槽段和填土路基段。</w:t>
            </w:r>
          </w:p>
          <w:p w14:paraId="30C578F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2275205" cy="1515745"/>
                  <wp:effectExtent l="0" t="0" r="10795" b="8255"/>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13"/>
                          <a:stretch>
                            <a:fillRect/>
                          </a:stretch>
                        </pic:blipFill>
                        <pic:spPr>
                          <a:xfrm>
                            <a:off x="0" y="0"/>
                            <a:ext cx="2275205" cy="1515745"/>
                          </a:xfrm>
                          <a:prstGeom prst="rect">
                            <a:avLst/>
                          </a:prstGeom>
                        </pic:spPr>
                      </pic:pic>
                    </a:graphicData>
                  </a:graphic>
                </wp:inline>
              </w:drawing>
            </w:r>
          </w:p>
          <w:p w14:paraId="581FB93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敞开式线路设计时应注意以下因素：</w:t>
            </w:r>
          </w:p>
          <w:p w14:paraId="21B6577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（1）过渡段位置的确定要慎重考虑。敞开沟堑形式对线位两侧环境影响较严重，不但产生噪声和振动，且隔断线路两侧的沟通，对城市景观也不利。</w:t>
            </w:r>
          </w:p>
          <w:p w14:paraId="2580DBD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（2）要注意排水。顶部敞开会形成雨水汇聚，排水系统要结合当地的暴雨强度考虑排水能力，必要时可在敞开段顶部设置透明材料的防雨罩棚。</w:t>
            </w:r>
          </w:p>
          <w:p w14:paraId="7B3407E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p>
          <w:p w14:paraId="64C4968B">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线路平面位置选择</w:t>
            </w:r>
          </w:p>
          <w:p w14:paraId="39F6062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3.1地下线路平面位置</w:t>
            </w:r>
          </w:p>
          <w:p w14:paraId="4BE5D8C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1）位于道路规划红线范围内</w:t>
            </w:r>
          </w:p>
          <w:p w14:paraId="3CF9448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城市轨道交通线路位于城市规划道路范围内，是常用的线路平面位置，对道路红线范围以外的城市建筑物干扰较小。如图所示为城市轨道交通地下线路的三种代表位置：道路中线位置、慢车道位置和建筑物下方位置。</w:t>
            </w:r>
          </w:p>
          <w:p w14:paraId="234B47C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3006090" cy="1428115"/>
                  <wp:effectExtent l="0" t="0" r="3810" b="635"/>
                  <wp:docPr id="10" name="图片 1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7"/>
                          <pic:cNvPicPr>
                            <a:picLocks noChangeAspect="1"/>
                          </pic:cNvPicPr>
                        </pic:nvPicPr>
                        <pic:blipFill>
                          <a:blip r:embed="rId14"/>
                          <a:stretch>
                            <a:fillRect/>
                          </a:stretch>
                        </pic:blipFill>
                        <pic:spPr>
                          <a:xfrm>
                            <a:off x="0" y="0"/>
                            <a:ext cx="3006090" cy="1428115"/>
                          </a:xfrm>
                          <a:prstGeom prst="rect">
                            <a:avLst/>
                          </a:prstGeom>
                        </pic:spPr>
                      </pic:pic>
                    </a:graphicData>
                  </a:graphic>
                </wp:inline>
              </w:drawing>
            </w:r>
          </w:p>
          <w:p w14:paraId="230A11B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①道路中线位置：线路位于道路的中心，对两侧建筑物影响小，地下管网拆迁较少，有利于城市轨道交通线路截弯取直，减少曲线数量，并能适应较窄的道路红线宽度。缺点是当采用明挖法施工时，会破坏现有道路路面，对城市交通干扰较大。</w:t>
            </w:r>
          </w:p>
          <w:p w14:paraId="14D97A3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②慢车道位置：线路位于慢车道和人行道下方，能减少对城市交通的干扰和机动车路面的破坏。</w:t>
            </w:r>
          </w:p>
          <w:p w14:paraId="06CC957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③建筑物下方位置：线路位于待拆的已有建筑物下方，对现有道路及交通基本无干扰和破坏，地下管网也极少。但房屋拆迁及安置量大，适用于与城区改造同步进行的情况。</w:t>
            </w:r>
          </w:p>
          <w:p w14:paraId="2109659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2）位于道路范围以外</w:t>
            </w:r>
          </w:p>
          <w:p w14:paraId="5EFB4AB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将地下线置于道路范围以外，可以达到缩短线路长度、减少拆迁、降低工程造价的目的，但是只能在以下特定条件下进行。</w:t>
            </w:r>
          </w:p>
          <w:p w14:paraId="5650AA2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（1）地质条件好，基岩埋深很浅，隧道可以用矿山法在建筑物下方施工。</w:t>
            </w:r>
          </w:p>
          <w:p w14:paraId="21F47CC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（2）城市非建成区或广场、公园、绿地（耕地）。</w:t>
            </w:r>
          </w:p>
          <w:p w14:paraId="741F3EC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（3）老的街坊改造区，可以同步规划设计，并能按合理施工顺序施工。</w:t>
            </w:r>
          </w:p>
          <w:p w14:paraId="4885445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除了以上特定条件外，城市轨道交通线路一般不建议从既有多层、高层房屋建筑下面通过，因为在施工中不仅工艺复杂、难度大，而且造价高昂。</w:t>
            </w:r>
          </w:p>
          <w:p w14:paraId="001D95B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3.2高架线路平面位置</w:t>
            </w:r>
          </w:p>
          <w:p w14:paraId="2ACCB48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相较于地下线路平面位置的选择，高架线路更严格，自由度更少，一般要顺城市主路平行设置，道路红线宽度宜大于40 m。</w:t>
            </w:r>
          </w:p>
          <w:p w14:paraId="3565805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在道路横断面上，城市轨道交通高架桥墩柱位置要与道路车行道分幅配合，一般宜将桥墩柱置于分隔带上。高架线路位于道路中心线上，对道路景观较为有利，噪声对两侧房屋的影响相对较小，路口交叉处，对拐弯机动车影响小。但是，在无中间分隔带的道路上敷设时，改建道路工程量大。</w:t>
            </w:r>
          </w:p>
          <w:p w14:paraId="02D9795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3.3地面线平面位置</w:t>
            </w:r>
          </w:p>
          <w:p w14:paraId="2850779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地面线一般设置于道路中心带上，带宽一般为20 m左右。</w:t>
            </w:r>
          </w:p>
          <w:p w14:paraId="5556B85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当城市快速路或主干道的中间有分隔带时，地面线可以设于分隔带上，不阻隔两侧建筑物内的车辆按右行方向出入，不需要设置辅路，有利于城市景观及减少城市轨道交通噪声的干扰。但这种设置需要乘客通过地道或天桥进入地铁。</w:t>
            </w:r>
          </w:p>
          <w:p w14:paraId="7ED3A1E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p>
          <w:p w14:paraId="19DCD7E6">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轨道交通线路中线的确定</w:t>
            </w:r>
          </w:p>
          <w:p w14:paraId="556AEB4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轨道交通工程线路是一条三维空间带状构造物，它是由路基轨道、桥梁、隧道和沿线设施所组成。轨道交通工程线路是指轨道交通中线的空间位置，轨道交通中线，是以路基横断面上距外轨半个轨距的铅垂线AB与路肩水平线CD的交点O在纵向上的连线表示，如图所示。</w:t>
            </w:r>
          </w:p>
          <w:p w14:paraId="3683D6E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drawing>
                <wp:inline distT="0" distB="0" distL="114300" distR="114300">
                  <wp:extent cx="3856355" cy="1664335"/>
                  <wp:effectExtent l="0" t="0" r="10795" b="12065"/>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15"/>
                          <a:stretch>
                            <a:fillRect/>
                          </a:stretch>
                        </pic:blipFill>
                        <pic:spPr>
                          <a:xfrm>
                            <a:off x="0" y="0"/>
                            <a:ext cx="3856355" cy="1664335"/>
                          </a:xfrm>
                          <a:prstGeom prst="rect">
                            <a:avLst/>
                          </a:prstGeom>
                        </pic:spPr>
                      </pic:pic>
                    </a:graphicData>
                  </a:graphic>
                </wp:inline>
              </w:drawing>
            </w:r>
          </w:p>
          <w:p w14:paraId="45D4BE6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sz w:val="24"/>
                <w:szCs w:val="32"/>
                <w:lang w:val="en-US" w:eastAsia="zh-CN"/>
              </w:rPr>
            </w:pPr>
          </w:p>
          <w:p w14:paraId="57F819C4">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leftChars="0" w:right="0" w:rightChars="0" w:firstLine="0" w:firstLine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轨道交通线路平面设计基本线形</w:t>
            </w:r>
          </w:p>
          <w:p w14:paraId="42D18D4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城市轨道交通线路的平面线形，一般是由直线、圆曲线和缓和曲线构成的。其中，直线是曲率为零的线形；圆曲线是曲率为常数的线形；缓和曲线是曲率连续变化的线形。</w:t>
            </w:r>
          </w:p>
          <w:p w14:paraId="06C4B00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drawing>
                <wp:inline distT="0" distB="0" distL="114300" distR="114300">
                  <wp:extent cx="4230370" cy="2218690"/>
                  <wp:effectExtent l="0" t="0" r="17780" b="10160"/>
                  <wp:docPr id="12" name="图片 1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9"/>
                          <pic:cNvPicPr>
                            <a:picLocks noChangeAspect="1"/>
                          </pic:cNvPicPr>
                        </pic:nvPicPr>
                        <pic:blipFill>
                          <a:blip r:embed="rId16"/>
                          <a:stretch>
                            <a:fillRect/>
                          </a:stretch>
                        </pic:blipFill>
                        <pic:spPr>
                          <a:xfrm>
                            <a:off x="0" y="0"/>
                            <a:ext cx="4230370" cy="2218690"/>
                          </a:xfrm>
                          <a:prstGeom prst="rect">
                            <a:avLst/>
                          </a:prstGeom>
                        </pic:spPr>
                      </pic:pic>
                    </a:graphicData>
                  </a:graphic>
                </wp:inline>
              </w:drawing>
            </w:r>
          </w:p>
          <w:p w14:paraId="776C3E9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列车运行轨迹应当具有以下特点：</w:t>
            </w:r>
          </w:p>
          <w:p w14:paraId="0C936C78">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（1）列车运行轨迹应当是连续的，即轨迹上任意一点不出现折点或间断。</w:t>
            </w:r>
          </w:p>
          <w:p w14:paraId="3498FD7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（2）列车运行轨迹的曲率是连续的，即轨迹上任一点不出现两个曲率值。</w:t>
            </w:r>
          </w:p>
          <w:p w14:paraId="651901E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Chars="0" w:right="0" w:rightChars="0"/>
              <w:jc w:val="both"/>
              <w:rPr>
                <w:rFonts w:hint="eastAsia" w:ascii="仿宋" w:hAnsi="仿宋" w:eastAsia="仿宋" w:cs="仿宋"/>
                <w:b w:val="0"/>
                <w:bCs w:val="0"/>
                <w:sz w:val="24"/>
                <w:szCs w:val="32"/>
                <w:lang w:val="en-US" w:eastAsia="zh-CN"/>
              </w:rPr>
            </w:pPr>
            <w:r>
              <w:rPr>
                <w:rFonts w:hint="eastAsia" w:ascii="仿宋" w:hAnsi="仿宋" w:eastAsia="仿宋" w:cs="仿宋"/>
                <w:b w:val="0"/>
                <w:bCs w:val="0"/>
                <w:sz w:val="24"/>
                <w:szCs w:val="32"/>
                <w:lang w:val="en-US" w:eastAsia="zh-CN"/>
              </w:rPr>
              <w:t>（3）列车运行轨迹的曲率对里程或时间的变化率是连续的，即轨迹上任一点不出现两个曲率变化率。</w:t>
            </w:r>
          </w:p>
          <w:p w14:paraId="3CCA14A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Ⅲ.总结归纳</w:t>
            </w:r>
          </w:p>
          <w:p w14:paraId="055D2AB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适度总结</w:t>
            </w:r>
          </w:p>
          <w:p w14:paraId="408AC49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4"/>
                <w:szCs w:val="32"/>
                <w:lang w:val="en-US" w:eastAsia="zh-CN"/>
              </w:rPr>
            </w:pPr>
          </w:p>
          <w:p w14:paraId="0A7CCBB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right="0" w:rightChars="0"/>
              <w:jc w:val="both"/>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Ⅳ.课后作业</w:t>
            </w:r>
          </w:p>
          <w:p w14:paraId="131AA0EA">
            <w:pPr>
              <w:numPr>
                <w:ilvl w:val="0"/>
                <w:numId w:val="0"/>
              </w:numPr>
              <w:ind w:leftChars="0"/>
              <w:jc w:val="both"/>
              <w:rPr>
                <w:rFonts w:hint="default" w:ascii="仿宋" w:hAnsi="仿宋" w:eastAsia="仿宋" w:cs="仿宋"/>
                <w:sz w:val="24"/>
                <w:szCs w:val="24"/>
                <w:lang w:val="en-US" w:eastAsia="zh-CN"/>
              </w:rPr>
            </w:pPr>
            <w:r>
              <w:rPr>
                <w:rFonts w:hint="eastAsia" w:ascii="楷体" w:hAnsi="楷体" w:eastAsia="楷体" w:cs="楷体"/>
                <w:sz w:val="24"/>
                <w:szCs w:val="32"/>
                <w:lang w:val="en-US" w:eastAsia="zh-CN"/>
              </w:rPr>
              <w:t>完成p31，p32，p43的任务自测</w:t>
            </w:r>
          </w:p>
        </w:tc>
        <w:tc>
          <w:tcPr>
            <w:tcW w:w="1296" w:type="dxa"/>
            <w:tcBorders>
              <w:top w:val="single" w:color="auto" w:sz="4" w:space="0"/>
              <w:bottom w:val="single" w:color="auto" w:sz="4" w:space="0"/>
              <w:right w:val="single" w:color="auto" w:sz="4" w:space="0"/>
            </w:tcBorders>
            <w:vAlign w:val="center"/>
          </w:tcPr>
          <w:p w14:paraId="6052EBF1">
            <w:pPr>
              <w:jc w:val="center"/>
              <w:rPr>
                <w:rFonts w:hint="default" w:asciiTheme="minorEastAsia" w:hAnsiTheme="minorEastAsia" w:eastAsiaTheme="minorEastAsia" w:cstheme="minorEastAsia"/>
                <w:sz w:val="36"/>
                <w:szCs w:val="36"/>
                <w:vertAlign w:val="baseline"/>
                <w:lang w:val="en-US" w:eastAsia="zh-CN"/>
              </w:rPr>
            </w:pPr>
            <w:r>
              <w:rPr>
                <w:rFonts w:hint="eastAsia" w:asciiTheme="minorEastAsia" w:hAnsiTheme="minorEastAsia" w:cstheme="minorEastAsia"/>
                <w:sz w:val="24"/>
                <w:szCs w:val="24"/>
                <w:vertAlign w:val="baseline"/>
                <w:lang w:val="en-US" w:eastAsia="zh-CN"/>
              </w:rPr>
              <w:t>教学备注</w:t>
            </w:r>
          </w:p>
        </w:tc>
      </w:tr>
      <w:tr w14:paraId="751D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7226" w:type="dxa"/>
            <w:gridSpan w:val="3"/>
            <w:vMerge w:val="continue"/>
            <w:tcBorders>
              <w:top w:val="single" w:color="auto" w:sz="4" w:space="0"/>
              <w:left w:val="single" w:color="auto" w:sz="4" w:space="0"/>
            </w:tcBorders>
            <w:vAlign w:val="center"/>
          </w:tcPr>
          <w:p w14:paraId="77C7F652">
            <w:pPr>
              <w:jc w:val="center"/>
              <w:rPr>
                <w:rFonts w:hint="eastAsia" w:asciiTheme="minorEastAsia" w:hAnsiTheme="minorEastAsia" w:eastAsiaTheme="minorEastAsia" w:cstheme="minorEastAsia"/>
                <w:sz w:val="36"/>
                <w:szCs w:val="36"/>
                <w:vertAlign w:val="baseline"/>
                <w:lang w:val="en-US" w:eastAsia="zh-CN"/>
              </w:rPr>
            </w:pPr>
          </w:p>
        </w:tc>
        <w:tc>
          <w:tcPr>
            <w:tcW w:w="1296" w:type="dxa"/>
            <w:tcBorders>
              <w:top w:val="single" w:color="auto" w:sz="4" w:space="0"/>
            </w:tcBorders>
            <w:vAlign w:val="center"/>
          </w:tcPr>
          <w:p w14:paraId="7150B92E">
            <w:pPr>
              <w:bidi w:val="0"/>
              <w:jc w:val="center"/>
              <w:rPr>
                <w:rFonts w:hint="eastAsia" w:asciiTheme="minorHAnsi" w:hAnsiTheme="minorHAnsi" w:eastAsiaTheme="minorEastAsia" w:cstheme="minorBidi"/>
                <w:kern w:val="2"/>
                <w:sz w:val="24"/>
                <w:szCs w:val="32"/>
                <w:lang w:val="en-US" w:eastAsia="zh-CN" w:bidi="ar-SA"/>
              </w:rPr>
            </w:pPr>
          </w:p>
        </w:tc>
      </w:tr>
      <w:tr w14:paraId="1247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522" w:type="dxa"/>
            <w:gridSpan w:val="4"/>
            <w:vAlign w:val="center"/>
          </w:tcPr>
          <w:p w14:paraId="6FE399C5">
            <w:pPr>
              <w:jc w:val="center"/>
              <w:rPr>
                <w:rFonts w:hint="eastAsia" w:asciiTheme="minorEastAsia" w:hAnsiTheme="minorEastAsia" w:eastAsiaTheme="minorEastAsia" w:cstheme="minorEastAsia"/>
                <w:sz w:val="36"/>
                <w:szCs w:val="36"/>
                <w:vertAlign w:val="baseline"/>
                <w:lang w:val="en-US" w:eastAsia="zh-CN"/>
              </w:rPr>
            </w:pPr>
            <w:r>
              <w:rPr>
                <w:rFonts w:hint="eastAsia" w:asciiTheme="minorEastAsia" w:hAnsiTheme="minorEastAsia" w:cstheme="minorEastAsia"/>
                <w:sz w:val="24"/>
                <w:szCs w:val="24"/>
                <w:vertAlign w:val="baseline"/>
                <w:lang w:val="en-US" w:eastAsia="zh-CN"/>
              </w:rPr>
              <w:t>教学后记</w:t>
            </w:r>
          </w:p>
        </w:tc>
      </w:tr>
      <w:tr w14:paraId="4650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4" w:hRule="atLeast"/>
        </w:trPr>
        <w:tc>
          <w:tcPr>
            <w:tcW w:w="8522" w:type="dxa"/>
            <w:gridSpan w:val="4"/>
            <w:vAlign w:val="center"/>
          </w:tcPr>
          <w:p w14:paraId="2451A8BD">
            <w:pPr>
              <w:numPr>
                <w:ilvl w:val="0"/>
                <w:numId w:val="8"/>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自我感受</w:t>
            </w:r>
          </w:p>
          <w:p w14:paraId="184EFD5B">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（周三上午3-4节，9-10班）昨天晚上熬夜，今天早上赶工，到上课前课件仍然还有欠缺。可见，课程内容还不够熟悉，所以上课时体现了这个问题。同时也感受到，学生对老师要求高，也有学生表现乖谬。</w:t>
            </w:r>
          </w:p>
          <w:p w14:paraId="2B04EB50">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四上午3-4节，3-4班）今天上课，第一节课，学生进行上节课的课堂展示，由于有些同学展示效果不太好，整个课堂有点令人沮丧，这和这次的任务过难有关。很多学生无从下手，致使课堂缺乏乐趣。所以，下次课，我们先暂停讲，如果新课提前讲完了，可以留一些时间继续讲解。同时，要把控质量。第二节课，因为赶进度，速度有过快，显得慌忙，学生压力大一点。</w:t>
            </w:r>
          </w:p>
          <w:p w14:paraId="755A33BE">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（周四下午7-8节，7-8班）今天的课，整体发挥较好，主要归功于专业知识的积累和良好的发挥与呈现，以及对之前上课总结。不足之处，还有个别知识点讲解模糊，以及不熟悉。</w:t>
            </w:r>
          </w:p>
          <w:p w14:paraId="0D9A9E2B">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（周五上午3-4节，5-6班）感觉学生听，但是不怎么配合。不知道为什么，“就是扭着脖子”，就好像对他们太好了，以致他们不珍惜。但是如果他们不听，我也没有办法~~~~</w:t>
            </w:r>
          </w:p>
          <w:p w14:paraId="79F479B8">
            <w:pPr>
              <w:numPr>
                <w:ilvl w:val="0"/>
                <w:numId w:val="0"/>
              </w:numPr>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（周五下午5-6节，9-10班）下午的课他们也是扭，总体表现出不顺服不听课的态度。不知道该怎么办。</w:t>
            </w:r>
          </w:p>
          <w:p w14:paraId="00ECAD9E">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1.1、教学设计是否合理？</w:t>
            </w:r>
          </w:p>
          <w:p w14:paraId="30F9EEED">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我觉得教学应该没有问题，总体上是衔接流畅的。</w:t>
            </w:r>
          </w:p>
          <w:p w14:paraId="11ED9D2E">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1.2、教学目的是否客观？</w:t>
            </w:r>
          </w:p>
          <w:p w14:paraId="0AF57A27">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客观</w:t>
            </w:r>
          </w:p>
          <w:p w14:paraId="47E5E3EE">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1.3、重点难点是否抓准？</w:t>
            </w:r>
          </w:p>
          <w:p w14:paraId="134EAF5B">
            <w:pPr>
              <w:numPr>
                <w:ilvl w:val="0"/>
                <w:numId w:val="0"/>
              </w:numPr>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本课没有明显的教学难点。</w:t>
            </w:r>
          </w:p>
          <w:p w14:paraId="67090538">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1.4、教学环节是否安排合适？</w:t>
            </w:r>
          </w:p>
          <w:p w14:paraId="23DC281A">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按照教材内容，有条不紊，循序渐进，整体合适。只是因为教材内容熟悉度不够，专业知识了解不够深，使得上课出现约二十分钟的空余，很显然，这是不合理的。</w:t>
            </w:r>
          </w:p>
          <w:p w14:paraId="70AFC35B">
            <w:pPr>
              <w:numPr>
                <w:ilvl w:val="0"/>
                <w:numId w:val="0"/>
              </w:numPr>
              <w:jc w:val="both"/>
              <w:rPr>
                <w:rFonts w:hint="default" w:ascii="仿宋" w:hAnsi="仿宋" w:eastAsia="仿宋" w:cs="仿宋"/>
                <w:b/>
                <w:bCs/>
                <w:color w:val="0000FF"/>
                <w:sz w:val="24"/>
                <w:szCs w:val="24"/>
                <w:vertAlign w:val="baseline"/>
                <w:lang w:val="en-US" w:eastAsia="zh-CN"/>
              </w:rPr>
            </w:pPr>
            <w:r>
              <w:rPr>
                <w:rFonts w:hint="eastAsia" w:ascii="仿宋" w:hAnsi="仿宋" w:eastAsia="仿宋" w:cs="仿宋"/>
                <w:sz w:val="24"/>
                <w:szCs w:val="24"/>
                <w:vertAlign w:val="baseline"/>
                <w:lang w:val="en-US" w:eastAsia="zh-CN"/>
              </w:rPr>
              <w:t>在已知上课内容不多的情况下，当时应该主动控制上课节奏。</w:t>
            </w:r>
            <w:r>
              <w:rPr>
                <w:rFonts w:hint="eastAsia" w:ascii="仿宋" w:hAnsi="仿宋" w:eastAsia="仿宋" w:cs="仿宋"/>
                <w:b/>
                <w:bCs/>
                <w:color w:val="0000FF"/>
                <w:sz w:val="24"/>
                <w:szCs w:val="24"/>
                <w:vertAlign w:val="baseline"/>
                <w:lang w:val="en-US" w:eastAsia="zh-CN"/>
              </w:rPr>
              <w:t>用坦然的心上课，不用太慌乱，提前讲完也没有关系。</w:t>
            </w:r>
          </w:p>
          <w:p w14:paraId="4D2CF3AF">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1.5、预习、自学；复习、提纲、导语、结束语、板书等设计是否恰当？</w:t>
            </w:r>
          </w:p>
          <w:p w14:paraId="57ACB81C">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没有感觉明显地不恰当。</w:t>
            </w:r>
          </w:p>
          <w:p w14:paraId="4D96E7A6">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（第二次）教学整体顺利，但前期知识介绍过于冗长。</w:t>
            </w:r>
          </w:p>
          <w:p w14:paraId="021E5049">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（第三次）理清了重点，抓住了脉络，衔接较为合适。</w:t>
            </w:r>
          </w:p>
          <w:p w14:paraId="30E5106E">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1.6、教学语言、教学手段方法、教学的应变、教学的效果等感觉如何？</w:t>
            </w:r>
          </w:p>
          <w:p w14:paraId="4ACC67B7">
            <w:pPr>
              <w:numPr>
                <w:ilvl w:val="0"/>
                <w:numId w:val="0"/>
              </w:numPr>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教学语言较之前更加精炼。教学手段在讲授法的基础上</w:t>
            </w:r>
            <w:r>
              <w:rPr>
                <w:rFonts w:hint="eastAsia" w:ascii="仿宋" w:hAnsi="仿宋" w:eastAsia="仿宋" w:cs="仿宋"/>
                <w:b/>
                <w:bCs/>
                <w:color w:val="0000FF"/>
                <w:sz w:val="24"/>
                <w:szCs w:val="24"/>
                <w:vertAlign w:val="baseline"/>
                <w:lang w:val="en-US" w:eastAsia="zh-CN"/>
              </w:rPr>
              <w:t>，应该多添加图文、音视频</w:t>
            </w:r>
            <w:r>
              <w:rPr>
                <w:rFonts w:hint="eastAsia" w:ascii="仿宋" w:hAnsi="仿宋" w:eastAsia="仿宋" w:cs="仿宋"/>
                <w:sz w:val="24"/>
                <w:szCs w:val="24"/>
                <w:vertAlign w:val="baseline"/>
                <w:lang w:val="en-US" w:eastAsia="zh-CN"/>
              </w:rPr>
              <w:t>以降低理解的难度，提高学生的兴趣。在备课时应该注意，平时多学习，多向有经验的老师提问。</w:t>
            </w:r>
          </w:p>
          <w:p w14:paraId="2BC76D80">
            <w:pPr>
              <w:numPr>
                <w:ilvl w:val="0"/>
                <w:numId w:val="0"/>
              </w:numPr>
              <w:jc w:val="both"/>
              <w:rPr>
                <w:rFonts w:hint="eastAsia" w:ascii="仿宋" w:hAnsi="仿宋" w:eastAsia="仿宋" w:cs="仿宋"/>
                <w:color w:val="0000FF"/>
                <w:sz w:val="24"/>
                <w:szCs w:val="24"/>
                <w:vertAlign w:val="baseline"/>
                <w:lang w:val="en-US" w:eastAsia="zh-CN"/>
              </w:rPr>
            </w:pPr>
            <w:r>
              <w:rPr>
                <w:rFonts w:hint="eastAsia" w:ascii="仿宋" w:hAnsi="仿宋" w:eastAsia="仿宋" w:cs="仿宋"/>
                <w:sz w:val="24"/>
                <w:szCs w:val="24"/>
                <w:vertAlign w:val="baseline"/>
                <w:lang w:val="en-US" w:eastAsia="zh-CN"/>
              </w:rPr>
              <w:t>教学的应变：由于课程的专业性及学生的特点，目前没有遇到逐个问题。</w:t>
            </w:r>
            <w:r>
              <w:rPr>
                <w:rFonts w:hint="eastAsia" w:ascii="仿宋" w:hAnsi="仿宋" w:eastAsia="仿宋" w:cs="仿宋"/>
                <w:b/>
                <w:bCs/>
                <w:color w:val="0000FF"/>
                <w:sz w:val="24"/>
                <w:szCs w:val="24"/>
                <w:vertAlign w:val="baseline"/>
                <w:lang w:val="en-US" w:eastAsia="zh-CN"/>
              </w:rPr>
              <w:t>鼓励学生思考提问</w:t>
            </w:r>
            <w:r>
              <w:rPr>
                <w:rFonts w:hint="eastAsia" w:ascii="仿宋" w:hAnsi="仿宋" w:eastAsia="仿宋" w:cs="仿宋"/>
                <w:color w:val="0000FF"/>
                <w:sz w:val="24"/>
                <w:szCs w:val="24"/>
                <w:vertAlign w:val="baseline"/>
                <w:lang w:val="en-US" w:eastAsia="zh-CN"/>
              </w:rPr>
              <w:t>。</w:t>
            </w:r>
          </w:p>
          <w:p w14:paraId="14ECEFEB">
            <w:pPr>
              <w:numPr>
                <w:ilvl w:val="0"/>
                <w:numId w:val="0"/>
              </w:numPr>
              <w:jc w:val="both"/>
              <w:rPr>
                <w:rFonts w:hint="eastAsia" w:ascii="仿宋" w:hAnsi="仿宋" w:eastAsia="仿宋" w:cs="仿宋"/>
                <w:sz w:val="24"/>
                <w:szCs w:val="24"/>
                <w:vertAlign w:val="baseline"/>
                <w:lang w:val="en-US" w:eastAsia="zh-CN"/>
              </w:rPr>
            </w:pPr>
          </w:p>
          <w:p w14:paraId="6B497917">
            <w:pPr>
              <w:numPr>
                <w:ilvl w:val="0"/>
                <w:numId w:val="9"/>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学生信息反馈</w:t>
            </w:r>
          </w:p>
          <w:p w14:paraId="55FF77BE">
            <w:pPr>
              <w:numPr>
                <w:ilvl w:val="0"/>
                <w:numId w:val="0"/>
              </w:numPr>
              <w:jc w:val="both"/>
              <w:rPr>
                <w:rFonts w:hint="eastAsia" w:ascii="楷体" w:hAnsi="楷体" w:eastAsia="楷体" w:cs="楷体"/>
                <w:i w:val="0"/>
                <w:iCs w:val="0"/>
                <w:sz w:val="22"/>
                <w:szCs w:val="22"/>
                <w:vertAlign w:val="baseline"/>
                <w:lang w:val="en-US" w:eastAsia="zh-CN"/>
              </w:rPr>
            </w:pPr>
            <w:r>
              <w:rPr>
                <w:rFonts w:hint="eastAsia" w:ascii="楷体" w:hAnsi="楷体" w:eastAsia="楷体" w:cs="楷体"/>
                <w:i w:val="0"/>
                <w:iCs w:val="0"/>
                <w:sz w:val="22"/>
                <w:szCs w:val="22"/>
                <w:vertAlign w:val="baseline"/>
                <w:lang w:val="en-US" w:eastAsia="zh-CN"/>
              </w:rPr>
              <w:t>（主要指学生的表情变化是否专注、注意力是否集中稳定、课堂气氛是否活跃、和谐，师生情感交流是否融洽正常，学生发言是否积极、教学效果是否满意。）</w:t>
            </w:r>
          </w:p>
          <w:p w14:paraId="31DAD3D1">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学生表情比较认真，课堂气氛总体比较专注和谐，课堂比较肃静。教师这一边或许应该适当幽默诙谐，</w:t>
            </w:r>
            <w:r>
              <w:rPr>
                <w:rFonts w:hint="eastAsia" w:ascii="仿宋" w:hAnsi="仿宋" w:eastAsia="仿宋" w:cs="仿宋"/>
                <w:b/>
                <w:bCs/>
                <w:color w:val="0000FF"/>
                <w:sz w:val="24"/>
                <w:szCs w:val="24"/>
                <w:vertAlign w:val="baseline"/>
                <w:lang w:val="en-US" w:eastAsia="zh-CN"/>
              </w:rPr>
              <w:t>放松、坦然一些，不要让学生太过紧张，因该营造轻松愉快的学习氛围，这样有利于思维的扩展</w:t>
            </w:r>
            <w:r>
              <w:rPr>
                <w:rFonts w:hint="eastAsia" w:ascii="仿宋" w:hAnsi="仿宋" w:eastAsia="仿宋" w:cs="仿宋"/>
                <w:sz w:val="24"/>
                <w:szCs w:val="24"/>
                <w:vertAlign w:val="baseline"/>
                <w:lang w:val="en-US" w:eastAsia="zh-CN"/>
              </w:rPr>
              <w:t>。</w:t>
            </w:r>
          </w:p>
          <w:p w14:paraId="4DEA46A8">
            <w:pPr>
              <w:numPr>
                <w:ilvl w:val="0"/>
                <w:numId w:val="0"/>
              </w:numPr>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学生配合还好，不应严格要求。教学效果需从后期测验，及实践课的情况来判断。</w:t>
            </w:r>
          </w:p>
          <w:p w14:paraId="4F0BA6FD">
            <w:pPr>
              <w:numPr>
                <w:ilvl w:val="0"/>
                <w:numId w:val="0"/>
              </w:numPr>
              <w:jc w:val="both"/>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应该更多将学生注意力吸引到课题研讨上来，用他们能理解的较为通俗的带有工程画面的方式介绍课程，包括其他的形式，从而使生动而不是呆板。</w:t>
            </w:r>
          </w:p>
          <w:p w14:paraId="2B0780E5">
            <w:pPr>
              <w:numPr>
                <w:ilvl w:val="0"/>
                <w:numId w:val="0"/>
              </w:numPr>
              <w:jc w:val="both"/>
              <w:rPr>
                <w:rFonts w:hint="eastAsia" w:ascii="仿宋" w:hAnsi="仿宋" w:eastAsia="仿宋" w:cs="仿宋"/>
                <w:sz w:val="24"/>
                <w:szCs w:val="24"/>
                <w:vertAlign w:val="baseline"/>
                <w:lang w:val="en-US" w:eastAsia="zh-CN"/>
              </w:rPr>
            </w:pPr>
            <w:bookmarkStart w:id="0" w:name="_GoBack"/>
            <w:bookmarkEnd w:id="0"/>
          </w:p>
          <w:p w14:paraId="61462D42">
            <w:pPr>
              <w:numPr>
                <w:ilvl w:val="0"/>
                <w:numId w:val="9"/>
              </w:numPr>
              <w:ind w:left="0" w:leftChars="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评课意见</w:t>
            </w:r>
          </w:p>
          <w:p w14:paraId="273B938B">
            <w:pPr>
              <w:numPr>
                <w:ilvl w:val="0"/>
                <w:numId w:val="0"/>
              </w:numPr>
              <w:ind w:leftChars="0"/>
              <w:jc w:val="both"/>
              <w:rPr>
                <w:rFonts w:hint="eastAsia" w:asciiTheme="minorEastAsia" w:hAnsiTheme="minorEastAsia" w:cstheme="minorEastAsia"/>
                <w:sz w:val="24"/>
                <w:szCs w:val="24"/>
                <w:vertAlign w:val="baseline"/>
                <w:lang w:val="en-US" w:eastAsia="zh-CN"/>
              </w:rPr>
            </w:pPr>
            <w:r>
              <w:rPr>
                <w:rFonts w:hint="eastAsia" w:ascii="仿宋" w:hAnsi="仿宋" w:eastAsia="仿宋" w:cs="仿宋"/>
                <w:sz w:val="24"/>
                <w:szCs w:val="24"/>
                <w:vertAlign w:val="baseline"/>
                <w:lang w:val="en-US" w:eastAsia="zh-CN"/>
              </w:rPr>
              <w:t>暂无。</w:t>
            </w:r>
          </w:p>
        </w:tc>
      </w:tr>
    </w:tbl>
    <w:p w14:paraId="3F8E562F">
      <w:pPr>
        <w:rPr>
          <w:rFonts w:hint="eastAsia"/>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F074D">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69736">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9469736">
                    <w:pPr>
                      <w:pStyle w:val="3"/>
                    </w:pPr>
                    <w:r>
                      <w:fldChar w:fldCharType="begin"/>
                    </w:r>
                    <w:r>
                      <w:instrText xml:space="preserve"> PAGE  \* MERGEFORMAT </w:instrText>
                    </w:r>
                    <w:r>
                      <w:fldChar w:fldCharType="separate"/>
                    </w:r>
                    <w:r>
                      <w:t>1</w:t>
                    </w:r>
                    <w:r>
                      <w:fldChar w:fldCharType="end"/>
                    </w:r>
                  </w:p>
                </w:txbxContent>
              </v:textbox>
            </v:shape>
          </w:pict>
        </mc:Fallback>
      </mc:AlternateContent>
    </w:r>
    <w:r>
      <w:drawing>
        <wp:anchor distT="0" distB="0" distL="114300" distR="114300" simplePos="0" relativeHeight="251660288" behindDoc="1" locked="0" layoutInCell="1" allowOverlap="1">
          <wp:simplePos x="0" y="0"/>
          <wp:positionH relativeFrom="page">
            <wp:posOffset>1080135</wp:posOffset>
          </wp:positionH>
          <wp:positionV relativeFrom="page">
            <wp:posOffset>9838055</wp:posOffset>
          </wp:positionV>
          <wp:extent cx="5400040" cy="130175"/>
          <wp:effectExtent l="0" t="0" r="10160"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5400040" cy="13017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6A861">
    <w:pPr>
      <w:pStyle w:val="4"/>
    </w:pPr>
    <w:r>
      <w:drawing>
        <wp:anchor distT="0" distB="0" distL="114300" distR="114300" simplePos="0" relativeHeight="251659264" behindDoc="1" locked="0" layoutInCell="1" allowOverlap="1">
          <wp:simplePos x="0" y="0"/>
          <wp:positionH relativeFrom="page">
            <wp:posOffset>1076325</wp:posOffset>
          </wp:positionH>
          <wp:positionV relativeFrom="page">
            <wp:posOffset>467995</wp:posOffset>
          </wp:positionV>
          <wp:extent cx="5400040" cy="374650"/>
          <wp:effectExtent l="0" t="0" r="1016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5400040" cy="3746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8127B"/>
    <w:multiLevelType w:val="singleLevel"/>
    <w:tmpl w:val="9B98127B"/>
    <w:lvl w:ilvl="0" w:tentative="0">
      <w:start w:val="1"/>
      <w:numFmt w:val="decimal"/>
      <w:lvlText w:val="%1."/>
      <w:lvlJc w:val="left"/>
      <w:pPr>
        <w:tabs>
          <w:tab w:val="left" w:pos="312"/>
        </w:tabs>
      </w:pPr>
    </w:lvl>
  </w:abstractNum>
  <w:abstractNum w:abstractNumId="1">
    <w:nsid w:val="C98035A2"/>
    <w:multiLevelType w:val="singleLevel"/>
    <w:tmpl w:val="C98035A2"/>
    <w:lvl w:ilvl="0" w:tentative="0">
      <w:start w:val="1"/>
      <w:numFmt w:val="decimal"/>
      <w:suff w:val="nothing"/>
      <w:lvlText w:val="（%1）"/>
      <w:lvlJc w:val="left"/>
    </w:lvl>
  </w:abstractNum>
  <w:abstractNum w:abstractNumId="2">
    <w:nsid w:val="CB0534C8"/>
    <w:multiLevelType w:val="singleLevel"/>
    <w:tmpl w:val="CB0534C8"/>
    <w:lvl w:ilvl="0" w:tentative="0">
      <w:start w:val="2"/>
      <w:numFmt w:val="decimal"/>
      <w:suff w:val="nothing"/>
      <w:lvlText w:val="%1、"/>
      <w:lvlJc w:val="left"/>
    </w:lvl>
  </w:abstractNum>
  <w:abstractNum w:abstractNumId="3">
    <w:nsid w:val="E924F370"/>
    <w:multiLevelType w:val="singleLevel"/>
    <w:tmpl w:val="E924F370"/>
    <w:lvl w:ilvl="0" w:tentative="0">
      <w:start w:val="2"/>
      <w:numFmt w:val="decimal"/>
      <w:suff w:val="nothing"/>
      <w:lvlText w:val="（%1）"/>
      <w:lvlJc w:val="left"/>
    </w:lvl>
  </w:abstractNum>
  <w:abstractNum w:abstractNumId="4">
    <w:nsid w:val="20500A8C"/>
    <w:multiLevelType w:val="singleLevel"/>
    <w:tmpl w:val="20500A8C"/>
    <w:lvl w:ilvl="0" w:tentative="0">
      <w:start w:val="1"/>
      <w:numFmt w:val="decimal"/>
      <w:suff w:val="space"/>
      <w:lvlText w:val="%1."/>
      <w:lvlJc w:val="left"/>
    </w:lvl>
  </w:abstractNum>
  <w:abstractNum w:abstractNumId="5">
    <w:nsid w:val="4E6A21DA"/>
    <w:multiLevelType w:val="multilevel"/>
    <w:tmpl w:val="4E6A21DA"/>
    <w:lvl w:ilvl="0" w:tentative="0">
      <w:start w:val="1"/>
      <w:numFmt w:val="decimal"/>
      <w:lvlText w:val="%1."/>
      <w:lvlJc w:val="left"/>
      <w:pPr>
        <w:tabs>
          <w:tab w:val="left" w:pos="312"/>
        </w:tabs>
      </w:p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6">
    <w:nsid w:val="580107F4"/>
    <w:multiLevelType w:val="multilevel"/>
    <w:tmpl w:val="580107F4"/>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6A3C2ADA"/>
    <w:multiLevelType w:val="singleLevel"/>
    <w:tmpl w:val="6A3C2ADA"/>
    <w:lvl w:ilvl="0" w:tentative="0">
      <w:start w:val="1"/>
      <w:numFmt w:val="decimal"/>
      <w:lvlText w:val="%1."/>
      <w:lvlJc w:val="left"/>
      <w:pPr>
        <w:tabs>
          <w:tab w:val="left" w:pos="312"/>
        </w:tabs>
      </w:pPr>
    </w:lvl>
  </w:abstractNum>
  <w:abstractNum w:abstractNumId="8">
    <w:nsid w:val="7043689B"/>
    <w:multiLevelType w:val="singleLevel"/>
    <w:tmpl w:val="7043689B"/>
    <w:lvl w:ilvl="0" w:tentative="0">
      <w:start w:val="1"/>
      <w:numFmt w:val="decimal"/>
      <w:suff w:val="space"/>
      <w:lvlText w:val="%1."/>
      <w:lvlJc w:val="left"/>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3Yjc5ZTQwYTJhYmRmNjA5YTdjZjhkZjYyNGE4NzQifQ=="/>
  </w:docVars>
  <w:rsids>
    <w:rsidRoot w:val="00000000"/>
    <w:rsid w:val="01EE141B"/>
    <w:rsid w:val="02081BD4"/>
    <w:rsid w:val="041B1368"/>
    <w:rsid w:val="04C87C0B"/>
    <w:rsid w:val="04C94E40"/>
    <w:rsid w:val="059652F0"/>
    <w:rsid w:val="059E1C31"/>
    <w:rsid w:val="05C341FF"/>
    <w:rsid w:val="05C67FFC"/>
    <w:rsid w:val="06876DA5"/>
    <w:rsid w:val="073914CA"/>
    <w:rsid w:val="08B5506F"/>
    <w:rsid w:val="08F41C38"/>
    <w:rsid w:val="0A317E04"/>
    <w:rsid w:val="0A9040FB"/>
    <w:rsid w:val="0AAF64F9"/>
    <w:rsid w:val="0AED7096"/>
    <w:rsid w:val="0B405673"/>
    <w:rsid w:val="0B971913"/>
    <w:rsid w:val="0B973201"/>
    <w:rsid w:val="0CB753A7"/>
    <w:rsid w:val="0CF623BA"/>
    <w:rsid w:val="0E423A5A"/>
    <w:rsid w:val="0E652EDD"/>
    <w:rsid w:val="0EF76548"/>
    <w:rsid w:val="10661F9A"/>
    <w:rsid w:val="12421A01"/>
    <w:rsid w:val="129B393F"/>
    <w:rsid w:val="12C37CA8"/>
    <w:rsid w:val="138E464B"/>
    <w:rsid w:val="1502584D"/>
    <w:rsid w:val="15062798"/>
    <w:rsid w:val="150834D9"/>
    <w:rsid w:val="154B7172"/>
    <w:rsid w:val="16B00E51"/>
    <w:rsid w:val="16E7671A"/>
    <w:rsid w:val="16EF256B"/>
    <w:rsid w:val="176B6339"/>
    <w:rsid w:val="17D60B0B"/>
    <w:rsid w:val="18293D0E"/>
    <w:rsid w:val="192C43C3"/>
    <w:rsid w:val="19836364"/>
    <w:rsid w:val="1AD60343"/>
    <w:rsid w:val="1AE4581D"/>
    <w:rsid w:val="1B5C390A"/>
    <w:rsid w:val="1B7C1A23"/>
    <w:rsid w:val="1C337CF0"/>
    <w:rsid w:val="1CB470DB"/>
    <w:rsid w:val="1D0A3E0D"/>
    <w:rsid w:val="1D326810"/>
    <w:rsid w:val="1D9F5B1F"/>
    <w:rsid w:val="1DC414EA"/>
    <w:rsid w:val="1E004AF3"/>
    <w:rsid w:val="1E5A233A"/>
    <w:rsid w:val="1E8C45D9"/>
    <w:rsid w:val="1F0A48F8"/>
    <w:rsid w:val="1F7D3EF4"/>
    <w:rsid w:val="200A26D8"/>
    <w:rsid w:val="20314E98"/>
    <w:rsid w:val="20490AAF"/>
    <w:rsid w:val="20DF4DD4"/>
    <w:rsid w:val="20F37C9C"/>
    <w:rsid w:val="2108716A"/>
    <w:rsid w:val="216C2E48"/>
    <w:rsid w:val="2226260A"/>
    <w:rsid w:val="222C20A9"/>
    <w:rsid w:val="22AC4A6F"/>
    <w:rsid w:val="22D51A80"/>
    <w:rsid w:val="22F67295"/>
    <w:rsid w:val="23F43E3C"/>
    <w:rsid w:val="244F60BF"/>
    <w:rsid w:val="24596674"/>
    <w:rsid w:val="247B189A"/>
    <w:rsid w:val="247F127B"/>
    <w:rsid w:val="24A64103"/>
    <w:rsid w:val="24E26528"/>
    <w:rsid w:val="251D4E8B"/>
    <w:rsid w:val="259F45C7"/>
    <w:rsid w:val="26544D7D"/>
    <w:rsid w:val="26904421"/>
    <w:rsid w:val="26971080"/>
    <w:rsid w:val="26DB38D0"/>
    <w:rsid w:val="27381994"/>
    <w:rsid w:val="27512B38"/>
    <w:rsid w:val="275568D2"/>
    <w:rsid w:val="27E115FA"/>
    <w:rsid w:val="284E7F2E"/>
    <w:rsid w:val="287E3382"/>
    <w:rsid w:val="288C5F18"/>
    <w:rsid w:val="28A67EFC"/>
    <w:rsid w:val="293E7FA8"/>
    <w:rsid w:val="295A14BE"/>
    <w:rsid w:val="2A1B4B13"/>
    <w:rsid w:val="2A2C74BF"/>
    <w:rsid w:val="2A535FD0"/>
    <w:rsid w:val="2A9076D8"/>
    <w:rsid w:val="2AE775C9"/>
    <w:rsid w:val="2BCF0F99"/>
    <w:rsid w:val="2BD1187D"/>
    <w:rsid w:val="2C0530BD"/>
    <w:rsid w:val="2C4D5FD2"/>
    <w:rsid w:val="2CD3163E"/>
    <w:rsid w:val="2CD4081A"/>
    <w:rsid w:val="2D03414E"/>
    <w:rsid w:val="2D264BC1"/>
    <w:rsid w:val="2D3B3FF4"/>
    <w:rsid w:val="2D8B2BC4"/>
    <w:rsid w:val="2D91186F"/>
    <w:rsid w:val="2DCE2BE1"/>
    <w:rsid w:val="2DF21528"/>
    <w:rsid w:val="2E1F2234"/>
    <w:rsid w:val="2E2058CA"/>
    <w:rsid w:val="2E415C0B"/>
    <w:rsid w:val="2E7D0690"/>
    <w:rsid w:val="2E8A5133"/>
    <w:rsid w:val="2F2B60C3"/>
    <w:rsid w:val="2F6B5BE4"/>
    <w:rsid w:val="2F73601B"/>
    <w:rsid w:val="30765F50"/>
    <w:rsid w:val="308D0FE9"/>
    <w:rsid w:val="30CC1889"/>
    <w:rsid w:val="31427BCA"/>
    <w:rsid w:val="314F0768"/>
    <w:rsid w:val="31785246"/>
    <w:rsid w:val="31953766"/>
    <w:rsid w:val="320038B9"/>
    <w:rsid w:val="326D6E4F"/>
    <w:rsid w:val="32AA2E28"/>
    <w:rsid w:val="330216E8"/>
    <w:rsid w:val="336C62ED"/>
    <w:rsid w:val="339C4474"/>
    <w:rsid w:val="34354FAB"/>
    <w:rsid w:val="3475631D"/>
    <w:rsid w:val="34CE77F9"/>
    <w:rsid w:val="34F822E9"/>
    <w:rsid w:val="356B0A42"/>
    <w:rsid w:val="358805AA"/>
    <w:rsid w:val="35CD0E48"/>
    <w:rsid w:val="36672402"/>
    <w:rsid w:val="37562547"/>
    <w:rsid w:val="38A40FAF"/>
    <w:rsid w:val="38A91968"/>
    <w:rsid w:val="39461CF1"/>
    <w:rsid w:val="3A5A6063"/>
    <w:rsid w:val="3B333EDD"/>
    <w:rsid w:val="3B7452C6"/>
    <w:rsid w:val="3C1558E8"/>
    <w:rsid w:val="3D567144"/>
    <w:rsid w:val="3DCF0FFF"/>
    <w:rsid w:val="3EBE4B6E"/>
    <w:rsid w:val="3EC8634C"/>
    <w:rsid w:val="3F095395"/>
    <w:rsid w:val="3F6B1D26"/>
    <w:rsid w:val="3FE00EC7"/>
    <w:rsid w:val="400A45DD"/>
    <w:rsid w:val="405C10D4"/>
    <w:rsid w:val="40BB74A9"/>
    <w:rsid w:val="40FA572A"/>
    <w:rsid w:val="411063A8"/>
    <w:rsid w:val="414932AA"/>
    <w:rsid w:val="417C108D"/>
    <w:rsid w:val="41A43476"/>
    <w:rsid w:val="41AD2F9D"/>
    <w:rsid w:val="41CC03D7"/>
    <w:rsid w:val="42030652"/>
    <w:rsid w:val="423A4383"/>
    <w:rsid w:val="429F385C"/>
    <w:rsid w:val="43BE21E9"/>
    <w:rsid w:val="43EB47C2"/>
    <w:rsid w:val="44F16E74"/>
    <w:rsid w:val="456A52C2"/>
    <w:rsid w:val="46AE2564"/>
    <w:rsid w:val="47904BD0"/>
    <w:rsid w:val="47A73AFD"/>
    <w:rsid w:val="48AC5A6A"/>
    <w:rsid w:val="48B134AD"/>
    <w:rsid w:val="48F42331"/>
    <w:rsid w:val="491465B8"/>
    <w:rsid w:val="498E7695"/>
    <w:rsid w:val="4A29289E"/>
    <w:rsid w:val="4A357E65"/>
    <w:rsid w:val="4A37545D"/>
    <w:rsid w:val="4AA372C1"/>
    <w:rsid w:val="4AC55D82"/>
    <w:rsid w:val="4AD7390E"/>
    <w:rsid w:val="4BB94120"/>
    <w:rsid w:val="4C805DF3"/>
    <w:rsid w:val="4CD342B9"/>
    <w:rsid w:val="4CE372B9"/>
    <w:rsid w:val="4EB66985"/>
    <w:rsid w:val="4EBC4F00"/>
    <w:rsid w:val="4FC03A1A"/>
    <w:rsid w:val="4FEF056B"/>
    <w:rsid w:val="5049110A"/>
    <w:rsid w:val="506F1A69"/>
    <w:rsid w:val="5084105B"/>
    <w:rsid w:val="514E20B3"/>
    <w:rsid w:val="51BB20EF"/>
    <w:rsid w:val="52C22B02"/>
    <w:rsid w:val="530A65C0"/>
    <w:rsid w:val="531D5890"/>
    <w:rsid w:val="53731094"/>
    <w:rsid w:val="53D03AFA"/>
    <w:rsid w:val="53EE7DC7"/>
    <w:rsid w:val="5488491F"/>
    <w:rsid w:val="5669515B"/>
    <w:rsid w:val="56AE1A9C"/>
    <w:rsid w:val="56D3653E"/>
    <w:rsid w:val="56D82D87"/>
    <w:rsid w:val="574D6904"/>
    <w:rsid w:val="57D95F1F"/>
    <w:rsid w:val="583C57D0"/>
    <w:rsid w:val="584D394E"/>
    <w:rsid w:val="585A4825"/>
    <w:rsid w:val="587C29ED"/>
    <w:rsid w:val="58992E9D"/>
    <w:rsid w:val="59AD4C84"/>
    <w:rsid w:val="59AE090B"/>
    <w:rsid w:val="5A21156A"/>
    <w:rsid w:val="5A2E205F"/>
    <w:rsid w:val="5A317B22"/>
    <w:rsid w:val="5AC4229C"/>
    <w:rsid w:val="5BBA6358"/>
    <w:rsid w:val="5C420A59"/>
    <w:rsid w:val="5D172E8B"/>
    <w:rsid w:val="5D275A4F"/>
    <w:rsid w:val="5D485594"/>
    <w:rsid w:val="5EB94E38"/>
    <w:rsid w:val="5F506D0D"/>
    <w:rsid w:val="5FDC5117"/>
    <w:rsid w:val="607C0CDE"/>
    <w:rsid w:val="61FA1AC6"/>
    <w:rsid w:val="63023DDD"/>
    <w:rsid w:val="63493BD5"/>
    <w:rsid w:val="63A32486"/>
    <w:rsid w:val="63F4797D"/>
    <w:rsid w:val="64D23FFC"/>
    <w:rsid w:val="64FE27AA"/>
    <w:rsid w:val="65513003"/>
    <w:rsid w:val="657B47DA"/>
    <w:rsid w:val="658835A0"/>
    <w:rsid w:val="66826DDA"/>
    <w:rsid w:val="66A510AF"/>
    <w:rsid w:val="671A69FA"/>
    <w:rsid w:val="67CA3599"/>
    <w:rsid w:val="68523F93"/>
    <w:rsid w:val="68E349D8"/>
    <w:rsid w:val="691431A9"/>
    <w:rsid w:val="6A574D1E"/>
    <w:rsid w:val="6AB64F23"/>
    <w:rsid w:val="6B643D82"/>
    <w:rsid w:val="6C427652"/>
    <w:rsid w:val="6CE230AE"/>
    <w:rsid w:val="6D1B53E4"/>
    <w:rsid w:val="6D5E317C"/>
    <w:rsid w:val="6DB82591"/>
    <w:rsid w:val="6DEF2023"/>
    <w:rsid w:val="6E25735C"/>
    <w:rsid w:val="6E4C6A96"/>
    <w:rsid w:val="6EBB602E"/>
    <w:rsid w:val="6EBF2ADE"/>
    <w:rsid w:val="6ED77B26"/>
    <w:rsid w:val="6FFC63BD"/>
    <w:rsid w:val="705D7351"/>
    <w:rsid w:val="70A30731"/>
    <w:rsid w:val="721A575D"/>
    <w:rsid w:val="72A35852"/>
    <w:rsid w:val="72E721EA"/>
    <w:rsid w:val="735650B2"/>
    <w:rsid w:val="73626A5C"/>
    <w:rsid w:val="73C51294"/>
    <w:rsid w:val="73E40B9D"/>
    <w:rsid w:val="73EE36BA"/>
    <w:rsid w:val="74173008"/>
    <w:rsid w:val="742F3DC1"/>
    <w:rsid w:val="7436288E"/>
    <w:rsid w:val="7487371F"/>
    <w:rsid w:val="75B60A02"/>
    <w:rsid w:val="75B72B65"/>
    <w:rsid w:val="75E60F22"/>
    <w:rsid w:val="76131DB3"/>
    <w:rsid w:val="77740948"/>
    <w:rsid w:val="77CF038E"/>
    <w:rsid w:val="787F0BAB"/>
    <w:rsid w:val="7899274E"/>
    <w:rsid w:val="78FB7C39"/>
    <w:rsid w:val="795E5595"/>
    <w:rsid w:val="79C21DD2"/>
    <w:rsid w:val="79F25F85"/>
    <w:rsid w:val="7AF6094A"/>
    <w:rsid w:val="7B0B4BE4"/>
    <w:rsid w:val="7B34358D"/>
    <w:rsid w:val="7B973A2E"/>
    <w:rsid w:val="7BBA0FB3"/>
    <w:rsid w:val="7C3C0C1F"/>
    <w:rsid w:val="7DF556C0"/>
    <w:rsid w:val="7DFC62F4"/>
    <w:rsid w:val="7E55335A"/>
    <w:rsid w:val="7E5F26BC"/>
    <w:rsid w:val="7E9A5B2F"/>
    <w:rsid w:val="7EFF6E14"/>
    <w:rsid w:val="7F844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after="330" w:afterLines="0" w:line="578" w:lineRule="auto"/>
      <w:outlineLvl w:val="0"/>
    </w:pPr>
    <w:rPr>
      <w:b/>
      <w:bCs/>
      <w:kern w:val="44"/>
      <w:sz w:val="44"/>
      <w:szCs w:val="44"/>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插图"/>
    <w:basedOn w:val="1"/>
    <w:autoRedefine/>
    <w:qFormat/>
    <w:uiPriority w:val="0"/>
    <w:pPr>
      <w:spacing w:before="120" w:beforeLines="0" w:after="60" w:afterLines="0"/>
      <w:jc w:val="center"/>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5690</Words>
  <Characters>5813</Characters>
  <Lines>0</Lines>
  <Paragraphs>0</Paragraphs>
  <TotalTime>177</TotalTime>
  <ScaleCrop>false</ScaleCrop>
  <LinksUpToDate>false</LinksUpToDate>
  <CharactersWithSpaces>5832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2023-08-28T11:15:00Z</dcterms:created>
  <dc:creator>Administrator</dc:creator>
  <cp:lastModifiedBy>宁利民</cp:lastModifiedBy>
  <dcterms:modified xsi:type="dcterms:W3CDTF">2024-10-08T11:51:13Z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52A284B5E03C41D2BE3B6B26B7E33E67_13</vt:lpwstr>
  </property>
</Properties>
</file>