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2362"/>
        <w:gridCol w:w="2009"/>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第十一周2课时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第四</w:t>
            </w:r>
            <w:bookmarkStart w:id="2" w:name="_GoBack"/>
            <w:bookmarkEnd w:id="2"/>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第6课  认识会计记账方法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（1）了解复式记账法的概念与种类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w:t>
            </w:r>
            <w:r>
              <w:rPr>
                <w:rFonts w:hint="eastAsia" w:asciiTheme="minorEastAsia" w:hAnsiTheme="minorEastAsia" w:cstheme="minorEastAsia"/>
                <w:sz w:val="28"/>
                <w:szCs w:val="28"/>
                <w:highlight w:val="none"/>
                <w:vertAlign w:val="baseline"/>
                <w:lang w:val="en-US" w:eastAsia="zh-CN"/>
              </w:rPr>
              <w:t>认识和运用</w:t>
            </w:r>
            <w:r>
              <w:rPr>
                <w:rFonts w:hint="default" w:asciiTheme="minorEastAsia" w:hAnsiTheme="minorEastAsia" w:eastAsiaTheme="minorEastAsia" w:cstheme="minorEastAsia"/>
                <w:sz w:val="28"/>
                <w:szCs w:val="28"/>
                <w:highlight w:val="none"/>
                <w:vertAlign w:val="baseline"/>
                <w:lang w:val="en-US" w:eastAsia="zh-CN"/>
              </w:rPr>
              <w:t>借贷记账法</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none"/>
                <w:vertAlign w:val="baseline"/>
                <w:lang w:val="en-US" w:eastAsia="zh-CN"/>
              </w:rPr>
              <w:t>（3）了解借贷记账法概念、结构与记账规则</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none"/>
                <w:vertAlign w:val="baseline"/>
                <w:lang w:val="en-US" w:eastAsia="zh-CN"/>
              </w:rPr>
              <w:t>（4）掌握借贷记账法对应的会计分录与试算平衡</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通过学习借贷记账法，树立“规则意识”，培养按规则办事的工作作风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复式记账法的概念与种类、会计分录的分类、借贷记账法的原理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借贷记账法下的账户结构和试算平衡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你们平时在生活中有记账的习惯吗？你们都是采用哪种方式记账的？</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【教师】总结学生的回答，并引入新知，讲解会计科目相关知识</w:t>
            </w:r>
          </w:p>
          <w:p>
            <w:pPr>
              <w:pStyle w:val="10"/>
              <w:ind w:left="0" w:leftChars="0" w:right="100" w:firstLine="700" w:firstLineChars="25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记账方法是指会计主体采用特定的记账符号，并运用一定的记账原理和规则，在账簿中记录经济业务的专门方法。按其记录经济业务方式的不同，记账方法可分为单式记账法和复式记账法。</w:t>
            </w:r>
          </w:p>
          <w:p>
            <w:pPr>
              <w:pStyle w:val="8"/>
              <w:spacing w:before="0"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一、单式记账法</w:t>
            </w:r>
          </w:p>
          <w:p>
            <w:pPr>
              <w:pStyle w:val="8"/>
              <w:spacing w:before="0"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单式记账法，是指对于每一项经济业务，只在一个账户中登记的记账方法。</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“用银行存款1 500元购买原材料”这项经济业务，若采用单式记账法进行记账，应该如何记录？</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采用单式记账法，则只在“银行存款”账户中记录银行存款减少1 500元，而不同时在“原材料”账户中记录原材料增加1 500元。</w:t>
            </w:r>
          </w:p>
          <w:p>
            <w:pPr>
              <w:pStyle w:val="8"/>
              <w:spacing w:before="0"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二、复式记账法</w:t>
            </w:r>
          </w:p>
          <w:p>
            <w:pPr>
              <w:pStyle w:val="8"/>
              <w:spacing w:before="0"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（一）复式记账法的概念</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复式记账法，是指对于每一项经济业务，都必须用相等的金额在两个或两个以上相互联系的账户中进行登记，全面、系统地反映会计要素增减变化的一种记账方法。</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“用银行存款1 500元购买原材料”这项经济业务，若采用复式记账法进行记账，又该如何记录？</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采用复式记账法，则不仅要在“银行存款”账户中记录银行存款减少1 500元，而且要同时在“原材料”账户中记录原材料增加1 500元。</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与单式记账法相比，复式记账法具有哪些优点？</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与单式记账法相比，复式记账法具有以下两个显著的优点。</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（1）能够全面反映经济业务内容和资金运动的来龙去脉。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（2）能够进行试算平衡，便于查账和对账。</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（二）复式记账法的种类</w:t>
            </w:r>
          </w:p>
          <w:p>
            <w:pPr>
              <w:pStyle w:val="8"/>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复式记账法可分为借贷记账法、增减记账法和收付记账法等。我国会计准则规定，企业、行政单位和事业单位会计核算采用借贷记账法记账。</w:t>
            </w:r>
          </w:p>
          <w:p>
            <w:pPr>
              <w:pStyle w:val="8"/>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0" w:after="100"/>
              <w:ind w:left="181" w:firstLine="280" w:firstLineChars="1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【教师】讲解借贷记账法的相关知识</w:t>
            </w:r>
          </w:p>
          <w:p>
            <w:pPr>
              <w:pStyle w:val="8"/>
              <w:spacing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一、借贷记账法的概念</w:t>
            </w:r>
          </w:p>
          <w:p>
            <w:pPr>
              <w:pStyle w:val="8"/>
              <w:spacing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借贷记账法是以“借”和“贷”作为记账符号的一种复式记账法。</w:t>
            </w:r>
          </w:p>
          <w:p>
            <w:pPr>
              <w:pStyle w:val="8"/>
              <w:spacing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二、借贷记账法的账户结构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“借”和“贷”各有哪些含义？</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✈【教师】总结学生的回答，多媒体播放视频“‘借’和‘贷’所表示增减的含义”（详见教材），并讲解具体内容</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账户的左方称为借方，右方称为贷方。所有账户的借方和贷方按相反方向记录增加数和减少数，即一方登记增加额，另一方就登记减少额。至于“借”表示增加（或减少），还是“贷”表示增加（或减少），则取决于账户的性质与所记录经济内容的性质。</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“借”“贷”作为一种记账符号，代表的是“增加”和“减少”之意。但“借”“贷”依据账户性质不同，有时代表增加，有时代表减少。</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通常情况下，资产类、成本类和费用类账户的增加记“借”方，减少记“贷”方；负债类、所有者权益类和收入类账户的增加记“贷”方，减少记“借”方。备抵账户的结构与所调整账户的结构正好相反。</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（一）资产类和成本类账户的结构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✈【教师】多媒体展示“资产类和成本类账户的结构“图片（详见教材），并讲解新知</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在借贷记账法下，资产类和成本类账户的借方登记增加额，贷方登记减少额，期末余额一般在借方。其余额计算公式为：</w:t>
            </w:r>
          </w:p>
          <w:p>
            <w:pPr>
              <w:adjustRightInd w:val="0"/>
              <w:snapToGrid w:val="0"/>
              <w:spacing w:after="1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期末借方余额=期初借方余额+本期借方发生额−本期贷方发生额</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（二）负债类和所有者权益类账户的结构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✈【教师】多媒体展示“负债类和所有者权益类账户的结构“图片（详见教材），并讲解新知</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在借贷记账法下，负债类和所有者权益类账户的借方登记减少额，贷方登记增加额，期末余额一般在贷方。其余额计算公式为：</w:t>
            </w:r>
          </w:p>
          <w:p>
            <w:pPr>
              <w:adjustRightInd w:val="0"/>
              <w:snapToGrid w:val="0"/>
              <w:spacing w:after="1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期末贷方余额=期初贷方余额+本期贷方发生额−本期借方发生额</w:t>
            </w:r>
          </w:p>
          <w:p>
            <w:pPr>
              <w:adjustRightInd w:val="0"/>
              <w:snapToGrid w:val="0"/>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（三）损益类账户的结构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你知道哪些账户是损益类账户？</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napToGrid w:val="0"/>
              <w:spacing w:before="0" w:after="0" w:line="276" w:lineRule="auto"/>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按其反映具体内容的不同，损益类账户可分为收入类账户和费用类账户。</w:t>
            </w:r>
          </w:p>
          <w:p>
            <w:pPr>
              <w:pStyle w:val="8"/>
              <w:snapToGrid w:val="0"/>
              <w:spacing w:before="0" w:after="0" w:line="276" w:lineRule="auto"/>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1．收入类账户的结构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✈【教师】多媒体展示“收入类账户的结构“图片（详见教材），并讲解新知</w:t>
            </w:r>
          </w:p>
          <w:p>
            <w:pPr>
              <w:pStyle w:val="8"/>
              <w:snapToGrid w:val="0"/>
              <w:spacing w:before="0" w:after="0" w:line="276" w:lineRule="auto"/>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在借贷记账法下，收入类账户的借方登记减少额，贷方登记增加额。本期收入净额在期末转入“本年利润”账户，用来计算当期损益，结转后一般无余额。</w:t>
            </w:r>
          </w:p>
          <w:p>
            <w:pPr>
              <w:pStyle w:val="8"/>
              <w:snapToGrid w:val="0"/>
              <w:spacing w:after="0"/>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2．费用类账户的结构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✈【教师】多媒体展示“费用类账户的结构“图片（详见教材），并讲解新知</w:t>
            </w:r>
          </w:p>
          <w:p>
            <w:pPr>
              <w:pStyle w:val="8"/>
              <w:snapToGrid w:val="0"/>
              <w:spacing w:before="0" w:after="0" w:line="276" w:lineRule="auto"/>
              <w:ind w:firstLine="3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在借贷记账法下，费用类账户的借方登记增加额，贷方登记减少额。本期费用净额在期末转入“本年利润”账户，用来计算当期损益，结转后一般无余额。</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三、借贷记账法的记账规则</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记账规则，是指采用某种记账方法登记具体经济业务时应遵循的规律。借贷记账法的记账规则为“有借必有贷，借贷必相等”。</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你是怎样理解“有借必有贷，借贷必相等”这句话的？</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任何经济业务的发生都必须同时登记在两个或两个以上相互联系的账户，一方（或几方）记入借方，另一方（或几方）必须记入贷方，且记入借方的金额等于记入贷方的金额。如果涉及多个账户，记入借方账户金额的合计数等于记入贷方账户金额的合计数。</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无论企业经济业务怎样复杂，均可概况为以下四种类型：① 资产与权益同时增加，总额增加；② 资产与权益同时减少，总额减少；③ 资产内部有增有减，总额不变；④ 权益内部有增有减，总额不变。</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✈【德育长廊】教师利用多媒体展示“资金运动与记账规则的对应关系”的图片（详见教材），并讲解德育知识</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有借必有贷，借贷必相等”是核算企业经济业务时必须遵循的记账规则，任何一项破坏该记账规则的账务处理都是错误的。这就要求我们在以后的生活和工作中，一定要树立“规则意识”，按规则办事，坚守底线、不越红线、不碰高压线，树立和谐共赢、共同发展的理念。</w:t>
            </w:r>
          </w:p>
          <w:p>
            <w:pPr>
              <w:pStyle w:val="8"/>
              <w:ind w:firstLine="560" w:firstLineChars="200"/>
              <w:rPr>
                <w:rFonts w:hint="eastAsia" w:asciiTheme="minorEastAsia" w:hAnsiTheme="minorEastAsia" w:eastAsiaTheme="minorEastAsia" w:cstheme="minorEastAsia"/>
                <w:kern w:val="2"/>
                <w:sz w:val="28"/>
                <w:szCs w:val="28"/>
                <w:vertAlign w:val="baseline"/>
                <w:lang w:val="en-US" w:eastAsia="zh-CN" w:bidi="ar-SA"/>
              </w:rPr>
            </w:pP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✈【教师】让学生思考“经典例题【例4-1】”</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12月10日，甲公司收到投资者投入资本30 000元，款项存入银行。利用借贷记账法进行记账。</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✈【教师】与学生一起分析，并利用多媒体展示“资产和权益要素同时增加的登记结果”图片（详见教材）</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这项经济业务涉及“银行存款”和“实收资本”两个账户。“银行存款”属于资产类账户，账户金额增加30 000元，应记入借方；“实收资本”属于权益类账户，账户金额增加30 000元，应记入贷方。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【例4-2】、【例4-3】和【例4-4】详见教材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【教师】多媒体播放视频“借贷记账法的账户结构“（详见教材），将学生分组，提出以下问题让学生分组讨论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在借贷记账法下，会计的六种要素之间有怎样的关系？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前述财务状况与经营成果相结合的会计等式移项后可得：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资产+费用=负债+所有者权益+收入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在借贷记账法下，六类账户的基本结构可以借助上述等式这样来记忆：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等式左边的账户“借方登记增加、贷方登记减少”，右边的账户“贷方登记增加、借方登记减少”，由于成本类账户与资产类账户结构类似，因此，可以进一步简记为“资、成、费”借增贷减，“负、所、收”贷增借减。</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采用借贷记账法对每笔交易事项进行记录时，相关账户之间会形成什么样的关系？</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四、借贷记账法下的账户对应关系与会计分录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（一）账户对应关系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账户对应关系，是指采用借贷记账法对每笔交易事项进行记录时，相关账户之间形成的应借、应贷的相互关系。存在对应关系的账户称为对应账户。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从银行提取现金1 000元，这项经济业务发生后，应该怎样记账？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记入“库存现金”账户的借方和“银行存款”账户的贷方，这样在“库存现金”账户与“银行存款”账户之间就形成了应借、应贷的关系，即账户的对应关系。这一对应关系说明银行存款的减少是由提取现金引起的，而现金的增加则是由银行存款转化而来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1．会计分录的概念</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✈【教师】多媒体播放视频“会计分录”（详见教材），并提出问题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你认为什么是会计分录？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会计分录，简称分录，是对每项经济业务列示出应借、应贷的账户名称（科目）及其金额的一种记录。会计分录由应借应贷方向、相互对应的科目及其金额三大要素构成。在我国，会计分录记载于记账凭证中。</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✈【教师】让学生思考“经典例题【例4-1】”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12月10日，甲公司收到投资者投入资本30 000元，款项存入银行。这项经济业务的会计分录如何编制。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借：银行存款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贷：实收资本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2．会计分录的分类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按照所涉及账户的多少，会计分录分为简单会计分录和复合会计分录两种。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（1）简单会计分录，是指只涉及一个账户借方和另一个账户贷方的会计分录，即一借一贷的会计分录，如【例4-1】至【例4-4】中的会计分录。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（2）复合会计分录，是指由两个以上（不含两个）对应账户组成的会计分录，即一借多贷、多借一贷或多借多贷的会计分录。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✈【教师】让学生思考“经典例题【例4-5】”</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乙公司购入原材料一批，货款共计40 000元，以银行存款支付30 000元，余款暂欠（不考虑增值税）。请编制这项经济业务的会计分录。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应付账款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上述的会计分录属于“一借多贷”的复合会计分录，实际上它是由下列两个简单会计分录组成的。即：</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✈【小提示】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为了保持账户对应关系清晰，一般不应把不同类型的经济业务合并编制多借多贷的会计分录，否则会无法反映会计科目之间的对应关系，也不能明确表达经济业务的实际内容。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3．会计分录的编制步骤</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编制会计分录时，格式上采用先借后贷、上借下贷、每一个会计科目占一行；借方与贷方应错位表示，金额也要错开写，以便醒目、清晰。</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运用借贷记账法编制会计分录，可按下列步骤进行。</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（1）分析经济业务涉及哪些账户发生变化。</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（2）分析所涉及账户的性质，即它们各属于什么会计要素。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（3）分析确定所涉及账户是增加了还是减少了，增加或者减少的金额是多少。</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（4）根据账户的性质，确定分别记入账户的借方还是贷方。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（5）按正确的格式编制会计分录，并检查是否符合记账规则。</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✈【教师】让学生思考“经典例题【例4-6】”</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乙公司向银行借入短期借款30 000元，直接用于偿还供货商的购料款。请编制这项经济业务的会计分录。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这项经济业务涉及“短期借款”和“应付账款”两个账户。“短期借款”属于负债类账户，金额增加30 000元，应记入贷方；“应付账款”属于负债类账户，金额减少30 000元，应记入借方。这项经济业务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借：应付账款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贷：短期借款                        30 000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五、借贷记账法下的试算平衡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（一）试算平衡的概念</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试算平衡，是指根据借贷记账法的记账规则、资产与权益（负债和所有者权益）的恒等关系，通过对所有账户的发生额和余额的汇总计算与比较，来检查账户记录是否正确的一种方法。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（二）试算平衡的分类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试算平衡有发生额试算平衡和余额试算平衡两种。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1．发生额试算平衡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发生额试算平衡，是指全部账户本期借方发生额合计与全部账户本期贷方发生额合计保持平衡，即：</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全部账户本期借方发生额合计=全部账户本期贷方发生额合计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发生额试算平衡的理论依据是借贷记账法的记账规则。由于每发生一笔经济业务，都是按照“有借必有贷，借贷必相等”的记账规则来进行核算的，因此，把全部账户本期借方发生额作一个合计，把全部账户本期贷方发生额作一个合计，这两个合计数一定相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2．余额试算平衡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余额试算平衡是根据“资产=负债+所有者权益”这一基本会计等式推导出来的。因为资产类账户的余额在借方，而负债类和所有者权益类账户的余额在贷方，根据“资产=负债+所有者权益”，可以得出全部账户的借方余额合计等于全部账户的贷方余额合计。余额试算平衡公式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全部账户借方期末（初）余额合计=全部账户贷方期末（初）余额合计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（三）试算平衡表的编制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✈【教师】多媒体播放视频“试算平衡表的编制”（详见教材），并讲解详细内容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算平衡是通过编制试算平衡表进行的。试算平衡表通常是在期末结出各账户的本期发生额合计和期末余额后编制的，表中一般应设置“期初余额”“本期发生额”和“期末余额”三大栏目，其下分设“借方”和“贷方”两个小栏，其格式如下文表4-2-2所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试算平衡只是通过借贷金额是否平衡来检查账户记录是否正确的一种方法。在编制试算平衡表时，应注意以下几点。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（1）必须保证所有账户的余额均已记入试算平衡表。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（2）试算不平衡，表明记账一定有错误，应认真查找，直到实现平衡为止。</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（3）试算平衡时，不能表明记账一定正确（因为可能存在不影响借贷双方平衡关系的错误）。</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✈【教师】让学生思考“经典例题【例4-7】”</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承【例4-1】至【例4-4】12月初，甲公司各账户的余额，如表4-2-1所示。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表4-2-1  期初余额表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××年12月1日                         单位：元</w:t>
            </w:r>
          </w:p>
          <w:tbl>
            <w:tblPr>
              <w:tblStyle w:val="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33"/>
              <w:gridCol w:w="1511"/>
              <w:gridCol w:w="15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tcBorders>
                    <w:top w:val="single" w:color="auto" w:sz="8" w:space="0"/>
                  </w:tcBorders>
                  <w:shd w:val="clear" w:color="auto" w:fill="FDEFF5"/>
                  <w:noWrap w:val="0"/>
                  <w:vAlign w:val="center"/>
                </w:tcPr>
                <w:p>
                  <w:pPr>
                    <w:pStyle w:val="8"/>
                    <w:spacing w:before="0" w:after="0"/>
                    <w:jc w:val="center"/>
                  </w:pPr>
                  <w:r>
                    <w:rPr>
                      <w:rFonts w:hint="eastAsia"/>
                    </w:rPr>
                    <w:t>账户名称</w:t>
                  </w:r>
                </w:p>
              </w:tc>
              <w:tc>
                <w:tcPr>
                  <w:tcW w:w="1862" w:type="dxa"/>
                  <w:tcBorders>
                    <w:top w:val="single" w:color="auto" w:sz="8" w:space="0"/>
                    <w:right w:val="double" w:color="auto" w:sz="4" w:space="0"/>
                  </w:tcBorders>
                  <w:shd w:val="clear" w:color="auto" w:fill="FDEFF5"/>
                  <w:noWrap w:val="0"/>
                  <w:vAlign w:val="center"/>
                </w:tcPr>
                <w:p>
                  <w:pPr>
                    <w:pStyle w:val="8"/>
                    <w:spacing w:before="0" w:after="0"/>
                    <w:jc w:val="center"/>
                  </w:pPr>
                  <w:r>
                    <w:rPr>
                      <w:rFonts w:hint="eastAsia"/>
                    </w:rPr>
                    <w:t>期初借方余额</w:t>
                  </w:r>
                </w:p>
              </w:tc>
              <w:tc>
                <w:tcPr>
                  <w:tcW w:w="1862" w:type="dxa"/>
                  <w:tcBorders>
                    <w:top w:val="single" w:color="auto" w:sz="8" w:space="0"/>
                    <w:left w:val="double" w:color="auto" w:sz="4" w:space="0"/>
                  </w:tcBorders>
                  <w:shd w:val="clear" w:color="auto" w:fill="FDEFF5"/>
                  <w:noWrap w:val="0"/>
                  <w:vAlign w:val="center"/>
                </w:tcPr>
                <w:p>
                  <w:pPr>
                    <w:pStyle w:val="8"/>
                    <w:spacing w:before="0" w:after="0"/>
                    <w:jc w:val="center"/>
                  </w:pPr>
                  <w:r>
                    <w:rPr>
                      <w:rFonts w:hint="eastAsia"/>
                    </w:rPr>
                    <w:t>账户名称</w:t>
                  </w:r>
                </w:p>
              </w:tc>
              <w:tc>
                <w:tcPr>
                  <w:tcW w:w="1864" w:type="dxa"/>
                  <w:tcBorders>
                    <w:top w:val="single" w:color="auto" w:sz="8" w:space="0"/>
                  </w:tcBorders>
                  <w:shd w:val="clear" w:color="auto" w:fill="FDEFF5"/>
                  <w:noWrap w:val="0"/>
                  <w:vAlign w:val="center"/>
                </w:tcPr>
                <w:p>
                  <w:pPr>
                    <w:pStyle w:val="8"/>
                    <w:spacing w:before="0" w:after="0"/>
                    <w:jc w:val="center"/>
                  </w:pPr>
                  <w:r>
                    <w:rPr>
                      <w:rFonts w:hint="eastAsia"/>
                    </w:rPr>
                    <w:t>期初贷方余额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noWrap w:val="0"/>
                  <w:vAlign w:val="top"/>
                </w:tcPr>
                <w:p>
                  <w:pPr>
                    <w:pStyle w:val="8"/>
                    <w:spacing w:before="0" w:after="0"/>
                    <w:jc w:val="center"/>
                  </w:pPr>
                  <w:r>
                    <w:rPr>
                      <w:rFonts w:hint="eastAsia"/>
                    </w:rPr>
                    <w:t>库存现金</w:t>
                  </w:r>
                </w:p>
              </w:tc>
              <w:tc>
                <w:tcPr>
                  <w:tcW w:w="1862" w:type="dxa"/>
                  <w:tcBorders>
                    <w:right w:val="double" w:color="auto" w:sz="4" w:space="0"/>
                  </w:tcBorders>
                  <w:noWrap w:val="0"/>
                  <w:vAlign w:val="top"/>
                </w:tcPr>
                <w:p>
                  <w:pPr>
                    <w:pStyle w:val="8"/>
                    <w:spacing w:before="0" w:after="0"/>
                    <w:jc w:val="center"/>
                  </w:pPr>
                  <w:r>
                    <w:rPr>
                      <w:rFonts w:hint="eastAsia"/>
                    </w:rPr>
                    <w:t>1 000</w:t>
                  </w:r>
                </w:p>
              </w:tc>
              <w:tc>
                <w:tcPr>
                  <w:tcW w:w="1862" w:type="dxa"/>
                  <w:tcBorders>
                    <w:left w:val="double" w:color="auto" w:sz="4" w:space="0"/>
                  </w:tcBorders>
                  <w:noWrap w:val="0"/>
                  <w:vAlign w:val="top"/>
                </w:tcPr>
                <w:p>
                  <w:pPr>
                    <w:pStyle w:val="8"/>
                    <w:spacing w:before="0" w:after="0"/>
                    <w:jc w:val="center"/>
                  </w:pPr>
                  <w:r>
                    <w:rPr>
                      <w:rFonts w:hint="eastAsia"/>
                    </w:rPr>
                    <w:t>短期借款</w:t>
                  </w:r>
                </w:p>
              </w:tc>
              <w:tc>
                <w:tcPr>
                  <w:tcW w:w="1864" w:type="dxa"/>
                  <w:noWrap w:val="0"/>
                  <w:vAlign w:val="top"/>
                </w:tcPr>
                <w:p>
                  <w:pPr>
                    <w:pStyle w:val="8"/>
                    <w:spacing w:before="0" w:after="0"/>
                    <w:jc w:val="center"/>
                  </w:pPr>
                  <w:r>
                    <w:t>1</w:t>
                  </w:r>
                  <w:r>
                    <w:rPr>
                      <w:rFonts w:hint="eastAsia"/>
                    </w:rPr>
                    <w:t>0 000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noWrap w:val="0"/>
                  <w:vAlign w:val="top"/>
                </w:tcPr>
                <w:p>
                  <w:pPr>
                    <w:pStyle w:val="8"/>
                    <w:spacing w:before="0" w:after="0"/>
                    <w:jc w:val="center"/>
                  </w:pPr>
                  <w:r>
                    <w:rPr>
                      <w:rFonts w:hint="eastAsia"/>
                    </w:rPr>
                    <w:t>银行存款</w:t>
                  </w:r>
                </w:p>
              </w:tc>
              <w:tc>
                <w:tcPr>
                  <w:tcW w:w="1862" w:type="dxa"/>
                  <w:tcBorders>
                    <w:right w:val="double" w:color="auto" w:sz="4" w:space="0"/>
                  </w:tcBorders>
                  <w:noWrap w:val="0"/>
                  <w:vAlign w:val="top"/>
                </w:tcPr>
                <w:p>
                  <w:pPr>
                    <w:pStyle w:val="8"/>
                    <w:spacing w:before="0" w:after="0"/>
                    <w:jc w:val="center"/>
                  </w:pPr>
                  <w:r>
                    <w:t>7</w:t>
                  </w:r>
                  <w:r>
                    <w:rPr>
                      <w:rFonts w:hint="eastAsia"/>
                    </w:rPr>
                    <w:t>0 000</w:t>
                  </w:r>
                </w:p>
              </w:tc>
              <w:tc>
                <w:tcPr>
                  <w:tcW w:w="1862" w:type="dxa"/>
                  <w:tcBorders>
                    <w:left w:val="double" w:color="auto" w:sz="4" w:space="0"/>
                  </w:tcBorders>
                  <w:noWrap w:val="0"/>
                  <w:vAlign w:val="top"/>
                </w:tcPr>
                <w:p>
                  <w:pPr>
                    <w:pStyle w:val="8"/>
                    <w:spacing w:before="0" w:after="0"/>
                    <w:jc w:val="center"/>
                  </w:pPr>
                  <w:r>
                    <w:rPr>
                      <w:rFonts w:hint="eastAsia"/>
                    </w:rPr>
                    <w:t>应付票据</w:t>
                  </w:r>
                </w:p>
              </w:tc>
              <w:tc>
                <w:tcPr>
                  <w:tcW w:w="1864" w:type="dxa"/>
                  <w:noWrap w:val="0"/>
                  <w:vAlign w:val="top"/>
                </w:tcPr>
                <w:p>
                  <w:pPr>
                    <w:pStyle w:val="8"/>
                    <w:spacing w:before="0" w:after="0"/>
                    <w:jc w:val="center"/>
                  </w:pPr>
                  <w:r>
                    <w:t>5</w:t>
                  </w:r>
                  <w:r>
                    <w:rPr>
                      <w:rFonts w:hint="eastAsia"/>
                    </w:rPr>
                    <w:t xml:space="preserve"> 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noWrap w:val="0"/>
                  <w:vAlign w:val="center"/>
                </w:tcPr>
                <w:p>
                  <w:pPr>
                    <w:pStyle w:val="8"/>
                    <w:spacing w:before="0" w:after="0"/>
                    <w:jc w:val="center"/>
                  </w:pPr>
                  <w:r>
                    <w:rPr>
                      <w:rFonts w:hint="eastAsia"/>
                    </w:rPr>
                    <w:t>库存商品</w:t>
                  </w:r>
                </w:p>
              </w:tc>
              <w:tc>
                <w:tcPr>
                  <w:tcW w:w="1862" w:type="dxa"/>
                  <w:tcBorders>
                    <w:right w:val="double" w:color="auto" w:sz="4" w:space="0"/>
                  </w:tcBorders>
                  <w:noWrap w:val="0"/>
                  <w:vAlign w:val="center"/>
                </w:tcPr>
                <w:p>
                  <w:pPr>
                    <w:pStyle w:val="8"/>
                    <w:spacing w:before="0" w:after="0"/>
                    <w:jc w:val="center"/>
                  </w:pPr>
                  <w:r>
                    <w:t>34</w:t>
                  </w:r>
                  <w:r>
                    <w:rPr>
                      <w:rFonts w:hint="eastAsia"/>
                    </w:rPr>
                    <w:t xml:space="preserve"> 000</w:t>
                  </w:r>
                </w:p>
              </w:tc>
              <w:tc>
                <w:tcPr>
                  <w:tcW w:w="1862" w:type="dxa"/>
                  <w:tcBorders>
                    <w:left w:val="double" w:color="auto" w:sz="4" w:space="0"/>
                  </w:tcBorders>
                  <w:noWrap w:val="0"/>
                  <w:vAlign w:val="center"/>
                </w:tcPr>
                <w:p>
                  <w:pPr>
                    <w:pStyle w:val="8"/>
                    <w:spacing w:before="0" w:after="0"/>
                    <w:jc w:val="center"/>
                  </w:pPr>
                  <w:r>
                    <w:rPr>
                      <w:rFonts w:hint="eastAsia"/>
                    </w:rPr>
                    <w:t>应付账款</w:t>
                  </w:r>
                </w:p>
              </w:tc>
              <w:tc>
                <w:tcPr>
                  <w:tcW w:w="1864" w:type="dxa"/>
                  <w:noWrap w:val="0"/>
                  <w:vAlign w:val="center"/>
                </w:tcPr>
                <w:p>
                  <w:pPr>
                    <w:pStyle w:val="8"/>
                    <w:spacing w:before="0" w:after="0"/>
                    <w:jc w:val="center"/>
                  </w:pPr>
                  <w:r>
                    <w:rPr>
                      <w:rFonts w:hint="eastAsia"/>
                    </w:rPr>
                    <w:t>60 000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tcBorders>
                    <w:bottom w:val="single" w:color="auto" w:sz="4" w:space="0"/>
                  </w:tcBorders>
                  <w:noWrap w:val="0"/>
                  <w:vAlign w:val="top"/>
                </w:tcPr>
                <w:p>
                  <w:pPr>
                    <w:pStyle w:val="8"/>
                    <w:spacing w:before="0" w:after="0"/>
                    <w:jc w:val="center"/>
                  </w:pPr>
                  <w:r>
                    <w:rPr>
                      <w:rFonts w:hint="eastAsia"/>
                    </w:rPr>
                    <w:t>固定资产</w:t>
                  </w:r>
                </w:p>
              </w:tc>
              <w:tc>
                <w:tcPr>
                  <w:tcW w:w="1862" w:type="dxa"/>
                  <w:tcBorders>
                    <w:bottom w:val="single" w:color="auto" w:sz="4" w:space="0"/>
                    <w:right w:val="double" w:color="auto" w:sz="4" w:space="0"/>
                  </w:tcBorders>
                  <w:noWrap w:val="0"/>
                  <w:vAlign w:val="top"/>
                </w:tcPr>
                <w:p>
                  <w:pPr>
                    <w:pStyle w:val="8"/>
                    <w:spacing w:before="0" w:after="0"/>
                    <w:jc w:val="center"/>
                  </w:pPr>
                  <w:r>
                    <w:rPr>
                      <w:rFonts w:hint="eastAsia"/>
                    </w:rPr>
                    <w:t>50 000</w:t>
                  </w:r>
                </w:p>
              </w:tc>
              <w:tc>
                <w:tcPr>
                  <w:tcW w:w="1862" w:type="dxa"/>
                  <w:tcBorders>
                    <w:left w:val="double" w:color="auto" w:sz="4" w:space="0"/>
                    <w:bottom w:val="single" w:color="auto" w:sz="4" w:space="0"/>
                  </w:tcBorders>
                  <w:noWrap w:val="0"/>
                  <w:vAlign w:val="top"/>
                </w:tcPr>
                <w:p>
                  <w:pPr>
                    <w:pStyle w:val="8"/>
                    <w:spacing w:before="0" w:after="0"/>
                    <w:jc w:val="center"/>
                  </w:pPr>
                  <w:r>
                    <w:rPr>
                      <w:rFonts w:hint="eastAsia"/>
                    </w:rPr>
                    <w:t>实收资本</w:t>
                  </w:r>
                </w:p>
              </w:tc>
              <w:tc>
                <w:tcPr>
                  <w:tcW w:w="1864" w:type="dxa"/>
                  <w:tcBorders>
                    <w:bottom w:val="single" w:color="auto" w:sz="4" w:space="0"/>
                  </w:tcBorders>
                  <w:noWrap w:val="0"/>
                  <w:vAlign w:val="top"/>
                </w:tcPr>
                <w:p>
                  <w:pPr>
                    <w:pStyle w:val="8"/>
                    <w:spacing w:before="0" w:after="0"/>
                    <w:jc w:val="center"/>
                  </w:pPr>
                  <w:r>
                    <w:t>80 000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64" w:type="dxa"/>
                  <w:tcBorders>
                    <w:bottom w:val="single" w:color="auto" w:sz="8" w:space="0"/>
                  </w:tcBorders>
                  <w:noWrap w:val="0"/>
                  <w:vAlign w:val="top"/>
                </w:tcPr>
                <w:p>
                  <w:pPr>
                    <w:pStyle w:val="8"/>
                    <w:spacing w:before="0" w:after="0"/>
                    <w:jc w:val="center"/>
                  </w:pPr>
                  <w:r>
                    <w:rPr>
                      <w:rFonts w:hint="eastAsia"/>
                    </w:rPr>
                    <w:t>合计</w:t>
                  </w:r>
                </w:p>
              </w:tc>
              <w:tc>
                <w:tcPr>
                  <w:tcW w:w="1862" w:type="dxa"/>
                  <w:tcBorders>
                    <w:bottom w:val="single" w:color="auto" w:sz="8" w:space="0"/>
                    <w:right w:val="double" w:color="auto" w:sz="4" w:space="0"/>
                  </w:tcBorders>
                  <w:noWrap w:val="0"/>
                  <w:vAlign w:val="top"/>
                </w:tcPr>
                <w:p>
                  <w:pPr>
                    <w:pStyle w:val="8"/>
                    <w:spacing w:before="0" w:after="0"/>
                    <w:jc w:val="center"/>
                  </w:pPr>
                  <w:r>
                    <w:rPr>
                      <w:rFonts w:hint="eastAsia"/>
                    </w:rPr>
                    <w:t>1</w:t>
                  </w:r>
                  <w:r>
                    <w:t>55</w:t>
                  </w:r>
                  <w:r>
                    <w:rPr>
                      <w:rFonts w:hint="eastAsia"/>
                    </w:rPr>
                    <w:t xml:space="preserve"> 000</w:t>
                  </w:r>
                </w:p>
              </w:tc>
              <w:tc>
                <w:tcPr>
                  <w:tcW w:w="1862" w:type="dxa"/>
                  <w:tcBorders>
                    <w:left w:val="double" w:color="auto" w:sz="4" w:space="0"/>
                    <w:bottom w:val="single" w:color="auto" w:sz="8" w:space="0"/>
                  </w:tcBorders>
                  <w:noWrap w:val="0"/>
                  <w:vAlign w:val="top"/>
                </w:tcPr>
                <w:p>
                  <w:pPr>
                    <w:pStyle w:val="8"/>
                    <w:spacing w:before="0" w:after="0"/>
                    <w:jc w:val="center"/>
                  </w:pPr>
                  <w:r>
                    <w:rPr>
                      <w:rFonts w:hint="eastAsia"/>
                    </w:rPr>
                    <w:t>合计</w:t>
                  </w:r>
                </w:p>
              </w:tc>
              <w:tc>
                <w:tcPr>
                  <w:tcW w:w="1864" w:type="dxa"/>
                  <w:tcBorders>
                    <w:bottom w:val="single" w:color="auto" w:sz="8" w:space="0"/>
                  </w:tcBorders>
                  <w:noWrap w:val="0"/>
                  <w:vAlign w:val="top"/>
                </w:tcPr>
                <w:p>
                  <w:pPr>
                    <w:pStyle w:val="8"/>
                    <w:spacing w:before="0" w:after="0"/>
                    <w:jc w:val="center"/>
                  </w:pPr>
                  <w:r>
                    <w:rPr>
                      <w:rFonts w:hint="eastAsia"/>
                    </w:rPr>
                    <w:t>1</w:t>
                  </w:r>
                  <w:r>
                    <w:t>55</w:t>
                  </w:r>
                  <w:r>
                    <w:rPr>
                      <w:rFonts w:hint="eastAsia"/>
                    </w:rPr>
                    <w:t xml:space="preserve"> 000</w:t>
                  </w:r>
                </w:p>
              </w:tc>
            </w:tr>
          </w:tbl>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12月份，甲公司发生的部分经济业务如【例4-1】至【例4-4】所示（详见教材）。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根据各项经济业务的相关分录登记总分类账户，期末在各总分类账户中结算出本期发生额和期末余额，如图4-2-10至图4-2-14所示（详见教材）。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根据各账户的期初余额、本期发生额和期末余额，编制总分类账户试算平衡表进行试算平衡，如表4-2-2所示。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……（具体内容详见教材）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【学生】聆听、思考、理解、记录</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【教师】讲解实训资料和要求，让学生分组完成实训活动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甲公司2021年7月31日有关账户的期初余额如表4-2-3所示。</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表4-2-3  期初余额表</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2021年7月31日            单位：元</w:t>
            </w:r>
          </w:p>
          <w:tbl>
            <w:tblPr>
              <w:tblStyle w:val="5"/>
              <w:tblW w:w="6044"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11"/>
              <w:gridCol w:w="1511"/>
              <w:gridCol w:w="151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tcBorders>
                    <w:top w:val="single" w:color="auto" w:sz="8" w:space="0"/>
                    <w:bottom w:val="single" w:color="auto" w:sz="4" w:space="0"/>
                  </w:tcBorders>
                  <w:shd w:val="clear" w:color="auto" w:fill="FDEFF5"/>
                  <w:noWrap w:val="0"/>
                  <w:vAlign w:val="center"/>
                </w:tcPr>
                <w:p>
                  <w:pPr>
                    <w:spacing w:line="240" w:lineRule="auto"/>
                    <w:jc w:val="center"/>
                    <w:rPr>
                      <w:sz w:val="18"/>
                      <w:szCs w:val="18"/>
                    </w:rPr>
                  </w:pPr>
                  <w:r>
                    <w:rPr>
                      <w:sz w:val="18"/>
                      <w:szCs w:val="18"/>
                    </w:rPr>
                    <w:t>账户名称</w:t>
                  </w:r>
                </w:p>
              </w:tc>
              <w:tc>
                <w:tcPr>
                  <w:tcW w:w="1511" w:type="dxa"/>
                  <w:tcBorders>
                    <w:top w:val="single" w:color="auto" w:sz="8" w:space="0"/>
                    <w:bottom w:val="single" w:color="auto" w:sz="4" w:space="0"/>
                    <w:right w:val="double" w:color="auto" w:sz="4" w:space="0"/>
                  </w:tcBorders>
                  <w:shd w:val="clear" w:color="auto" w:fill="FDEFF5"/>
                  <w:noWrap w:val="0"/>
                  <w:vAlign w:val="center"/>
                </w:tcPr>
                <w:p>
                  <w:pPr>
                    <w:spacing w:line="240" w:lineRule="auto"/>
                    <w:jc w:val="center"/>
                    <w:rPr>
                      <w:sz w:val="18"/>
                      <w:szCs w:val="18"/>
                    </w:rPr>
                  </w:pPr>
                  <w:r>
                    <w:rPr>
                      <w:sz w:val="18"/>
                      <w:szCs w:val="18"/>
                    </w:rPr>
                    <w:t>期初</w:t>
                  </w:r>
                  <w:r>
                    <w:rPr>
                      <w:rFonts w:hint="eastAsia"/>
                      <w:sz w:val="18"/>
                      <w:szCs w:val="18"/>
                    </w:rPr>
                    <w:t>借方</w:t>
                  </w:r>
                  <w:r>
                    <w:rPr>
                      <w:sz w:val="18"/>
                      <w:szCs w:val="18"/>
                    </w:rPr>
                    <w:t>余额</w:t>
                  </w:r>
                </w:p>
              </w:tc>
              <w:tc>
                <w:tcPr>
                  <w:tcW w:w="1511" w:type="dxa"/>
                  <w:tcBorders>
                    <w:top w:val="single" w:color="auto" w:sz="8" w:space="0"/>
                    <w:left w:val="double" w:color="auto" w:sz="4" w:space="0"/>
                    <w:bottom w:val="single" w:color="auto" w:sz="4" w:space="0"/>
                  </w:tcBorders>
                  <w:shd w:val="clear" w:color="auto" w:fill="FDEFF5"/>
                  <w:noWrap w:val="0"/>
                  <w:vAlign w:val="center"/>
                </w:tcPr>
                <w:p>
                  <w:pPr>
                    <w:spacing w:line="240" w:lineRule="auto"/>
                    <w:jc w:val="center"/>
                    <w:rPr>
                      <w:sz w:val="18"/>
                      <w:szCs w:val="18"/>
                    </w:rPr>
                  </w:pPr>
                  <w:r>
                    <w:rPr>
                      <w:rFonts w:hint="eastAsia"/>
                      <w:sz w:val="18"/>
                      <w:szCs w:val="18"/>
                    </w:rPr>
                    <w:t>账户名称</w:t>
                  </w:r>
                </w:p>
              </w:tc>
              <w:tc>
                <w:tcPr>
                  <w:tcW w:w="1511" w:type="dxa"/>
                  <w:tcBorders>
                    <w:top w:val="single" w:color="auto" w:sz="8" w:space="0"/>
                    <w:bottom w:val="single" w:color="auto" w:sz="4" w:space="0"/>
                  </w:tcBorders>
                  <w:shd w:val="clear" w:color="auto" w:fill="FDEFF5"/>
                  <w:noWrap w:val="0"/>
                  <w:vAlign w:val="center"/>
                </w:tcPr>
                <w:p>
                  <w:pPr>
                    <w:spacing w:line="240" w:lineRule="auto"/>
                    <w:jc w:val="center"/>
                    <w:rPr>
                      <w:sz w:val="18"/>
                      <w:szCs w:val="18"/>
                    </w:rPr>
                  </w:pPr>
                  <w:r>
                    <w:rPr>
                      <w:sz w:val="18"/>
                      <w:szCs w:val="18"/>
                    </w:rPr>
                    <w:t>期初</w:t>
                  </w:r>
                  <w:r>
                    <w:rPr>
                      <w:rFonts w:hint="eastAsia"/>
                      <w:sz w:val="18"/>
                      <w:szCs w:val="18"/>
                    </w:rPr>
                    <w:t>贷方</w:t>
                  </w:r>
                  <w:r>
                    <w:rPr>
                      <w:sz w:val="18"/>
                      <w:szCs w:val="18"/>
                    </w:rPr>
                    <w:t>余额</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tcBorders>
                    <w:top w:val="single" w:color="auto" w:sz="4" w:space="0"/>
                  </w:tcBorders>
                  <w:noWrap w:val="0"/>
                  <w:vAlign w:val="center"/>
                </w:tcPr>
                <w:p>
                  <w:pPr>
                    <w:spacing w:line="240" w:lineRule="auto"/>
                    <w:jc w:val="center"/>
                    <w:rPr>
                      <w:sz w:val="18"/>
                      <w:szCs w:val="18"/>
                    </w:rPr>
                  </w:pPr>
                  <w:r>
                    <w:rPr>
                      <w:sz w:val="18"/>
                      <w:szCs w:val="18"/>
                    </w:rPr>
                    <w:t>库存现金</w:t>
                  </w:r>
                </w:p>
              </w:tc>
              <w:tc>
                <w:tcPr>
                  <w:tcW w:w="1511" w:type="dxa"/>
                  <w:tcBorders>
                    <w:top w:val="single" w:color="auto" w:sz="4" w:space="0"/>
                    <w:bottom w:val="single" w:color="auto" w:sz="4" w:space="0"/>
                    <w:right w:val="double" w:color="auto" w:sz="4" w:space="0"/>
                  </w:tcBorders>
                  <w:noWrap w:val="0"/>
                  <w:vAlign w:val="center"/>
                </w:tcPr>
                <w:p>
                  <w:pPr>
                    <w:spacing w:line="240" w:lineRule="auto"/>
                    <w:jc w:val="center"/>
                    <w:rPr>
                      <w:sz w:val="18"/>
                      <w:szCs w:val="18"/>
                    </w:rPr>
                  </w:pPr>
                  <w:r>
                    <w:rPr>
                      <w:rFonts w:hint="eastAsia"/>
                      <w:sz w:val="18"/>
                      <w:szCs w:val="18"/>
                    </w:rPr>
                    <w:t>500</w:t>
                  </w:r>
                </w:p>
              </w:tc>
              <w:tc>
                <w:tcPr>
                  <w:tcW w:w="1511" w:type="dxa"/>
                  <w:tcBorders>
                    <w:top w:val="single" w:color="auto" w:sz="4" w:space="0"/>
                    <w:left w:val="double" w:color="auto" w:sz="4" w:space="0"/>
                  </w:tcBorders>
                  <w:noWrap w:val="0"/>
                  <w:vAlign w:val="center"/>
                </w:tcPr>
                <w:p>
                  <w:pPr>
                    <w:spacing w:line="240" w:lineRule="auto"/>
                    <w:jc w:val="center"/>
                    <w:rPr>
                      <w:sz w:val="18"/>
                      <w:szCs w:val="18"/>
                    </w:rPr>
                  </w:pPr>
                  <w:r>
                    <w:rPr>
                      <w:sz w:val="18"/>
                      <w:szCs w:val="18"/>
                    </w:rPr>
                    <w:t>短期借款</w:t>
                  </w:r>
                </w:p>
              </w:tc>
              <w:tc>
                <w:tcPr>
                  <w:tcW w:w="1511" w:type="dxa"/>
                  <w:tcBorders>
                    <w:top w:val="single" w:color="auto" w:sz="4" w:space="0"/>
                  </w:tcBorders>
                  <w:noWrap w:val="0"/>
                  <w:vAlign w:val="center"/>
                </w:tcPr>
                <w:p>
                  <w:pPr>
                    <w:spacing w:line="240" w:lineRule="auto"/>
                    <w:jc w:val="center"/>
                    <w:rPr>
                      <w:sz w:val="18"/>
                      <w:szCs w:val="18"/>
                    </w:rPr>
                  </w:pPr>
                  <w:r>
                    <w:rPr>
                      <w:rFonts w:hint="eastAsia"/>
                      <w:sz w:val="18"/>
                      <w:szCs w:val="18"/>
                    </w:rPr>
                    <w:t>50 000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noWrap w:val="0"/>
                  <w:vAlign w:val="center"/>
                </w:tcPr>
                <w:p>
                  <w:pPr>
                    <w:spacing w:line="240" w:lineRule="auto"/>
                    <w:jc w:val="center"/>
                    <w:rPr>
                      <w:sz w:val="18"/>
                      <w:szCs w:val="18"/>
                    </w:rPr>
                  </w:pPr>
                  <w:r>
                    <w:rPr>
                      <w:sz w:val="18"/>
                      <w:szCs w:val="18"/>
                    </w:rPr>
                    <w:t>银行存款</w:t>
                  </w:r>
                </w:p>
              </w:tc>
              <w:tc>
                <w:tcPr>
                  <w:tcW w:w="1511" w:type="dxa"/>
                  <w:tcBorders>
                    <w:top w:val="single" w:color="auto" w:sz="4" w:space="0"/>
                    <w:bottom w:val="single" w:color="auto" w:sz="4" w:space="0"/>
                    <w:right w:val="double" w:color="auto" w:sz="4" w:space="0"/>
                  </w:tcBorders>
                  <w:noWrap w:val="0"/>
                  <w:vAlign w:val="center"/>
                </w:tcPr>
                <w:p>
                  <w:pPr>
                    <w:spacing w:line="240" w:lineRule="auto"/>
                    <w:jc w:val="center"/>
                    <w:rPr>
                      <w:sz w:val="18"/>
                      <w:szCs w:val="18"/>
                    </w:rPr>
                  </w:pPr>
                  <w:r>
                    <w:rPr>
                      <w:rFonts w:hint="eastAsia"/>
                      <w:sz w:val="18"/>
                      <w:szCs w:val="18"/>
                    </w:rPr>
                    <w:t xml:space="preserve">80 </w:t>
                  </w:r>
                  <w:r>
                    <w:rPr>
                      <w:sz w:val="18"/>
                      <w:szCs w:val="18"/>
                    </w:rPr>
                    <w:t>5</w:t>
                  </w:r>
                  <w:r>
                    <w:rPr>
                      <w:rFonts w:hint="eastAsia"/>
                      <w:sz w:val="18"/>
                      <w:szCs w:val="18"/>
                    </w:rPr>
                    <w:t>00</w:t>
                  </w:r>
                </w:p>
              </w:tc>
              <w:tc>
                <w:tcPr>
                  <w:tcW w:w="1511" w:type="dxa"/>
                  <w:tcBorders>
                    <w:left w:val="double" w:color="auto" w:sz="4" w:space="0"/>
                  </w:tcBorders>
                  <w:noWrap w:val="0"/>
                  <w:vAlign w:val="center"/>
                </w:tcPr>
                <w:p>
                  <w:pPr>
                    <w:spacing w:line="240" w:lineRule="auto"/>
                    <w:jc w:val="center"/>
                    <w:rPr>
                      <w:sz w:val="18"/>
                      <w:szCs w:val="18"/>
                    </w:rPr>
                  </w:pPr>
                  <w:r>
                    <w:rPr>
                      <w:sz w:val="18"/>
                      <w:szCs w:val="18"/>
                    </w:rPr>
                    <w:t>应付票据</w:t>
                  </w:r>
                </w:p>
              </w:tc>
              <w:tc>
                <w:tcPr>
                  <w:tcW w:w="1511" w:type="dxa"/>
                  <w:noWrap w:val="0"/>
                  <w:vAlign w:val="center"/>
                </w:tcPr>
                <w:p>
                  <w:pPr>
                    <w:spacing w:line="240" w:lineRule="auto"/>
                    <w:jc w:val="center"/>
                    <w:rPr>
                      <w:sz w:val="18"/>
                      <w:szCs w:val="18"/>
                    </w:rPr>
                  </w:pPr>
                  <w:r>
                    <w:rPr>
                      <w:rFonts w:hint="eastAsia"/>
                      <w:sz w:val="18"/>
                      <w:szCs w:val="18"/>
                    </w:rPr>
                    <w:t>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noWrap w:val="0"/>
                  <w:vAlign w:val="center"/>
                </w:tcPr>
                <w:p>
                  <w:pPr>
                    <w:spacing w:line="240" w:lineRule="auto"/>
                    <w:jc w:val="center"/>
                    <w:rPr>
                      <w:rFonts w:hint="eastAsia"/>
                      <w:sz w:val="18"/>
                      <w:szCs w:val="18"/>
                    </w:rPr>
                  </w:pPr>
                  <w:r>
                    <w:rPr>
                      <w:rFonts w:hint="eastAsia"/>
                      <w:sz w:val="18"/>
                      <w:szCs w:val="18"/>
                    </w:rPr>
                    <w:t>应收账款</w:t>
                  </w:r>
                </w:p>
              </w:tc>
              <w:tc>
                <w:tcPr>
                  <w:tcW w:w="1511" w:type="dxa"/>
                  <w:tcBorders>
                    <w:top w:val="single" w:color="auto" w:sz="4" w:space="0"/>
                    <w:bottom w:val="single" w:color="auto" w:sz="4" w:space="0"/>
                    <w:right w:val="double" w:color="auto" w:sz="4" w:space="0"/>
                  </w:tcBorders>
                  <w:noWrap w:val="0"/>
                  <w:vAlign w:val="center"/>
                </w:tcPr>
                <w:p>
                  <w:pPr>
                    <w:spacing w:line="240" w:lineRule="auto"/>
                    <w:jc w:val="center"/>
                    <w:rPr>
                      <w:sz w:val="18"/>
                      <w:szCs w:val="18"/>
                    </w:rPr>
                  </w:pPr>
                  <w:r>
                    <w:rPr>
                      <w:rFonts w:hint="eastAsia"/>
                      <w:sz w:val="18"/>
                      <w:szCs w:val="18"/>
                    </w:rPr>
                    <w:t>35 000</w:t>
                  </w:r>
                </w:p>
              </w:tc>
              <w:tc>
                <w:tcPr>
                  <w:tcW w:w="1511" w:type="dxa"/>
                  <w:tcBorders>
                    <w:left w:val="double" w:color="auto" w:sz="4" w:space="0"/>
                  </w:tcBorders>
                  <w:noWrap w:val="0"/>
                  <w:vAlign w:val="center"/>
                </w:tcPr>
                <w:p>
                  <w:pPr>
                    <w:spacing w:line="240" w:lineRule="auto"/>
                    <w:jc w:val="center"/>
                    <w:rPr>
                      <w:sz w:val="18"/>
                      <w:szCs w:val="18"/>
                    </w:rPr>
                  </w:pPr>
                  <w:r>
                    <w:rPr>
                      <w:sz w:val="18"/>
                      <w:szCs w:val="18"/>
                    </w:rPr>
                    <w:t>应付账款</w:t>
                  </w:r>
                </w:p>
              </w:tc>
              <w:tc>
                <w:tcPr>
                  <w:tcW w:w="1511" w:type="dxa"/>
                  <w:noWrap w:val="0"/>
                  <w:vAlign w:val="center"/>
                </w:tcPr>
                <w:p>
                  <w:pPr>
                    <w:spacing w:line="240" w:lineRule="auto"/>
                    <w:jc w:val="center"/>
                    <w:rPr>
                      <w:sz w:val="18"/>
                      <w:szCs w:val="18"/>
                    </w:rPr>
                  </w:pPr>
                  <w:r>
                    <w:rPr>
                      <w:rFonts w:hint="eastAsia"/>
                      <w:sz w:val="18"/>
                      <w:szCs w:val="18"/>
                    </w:rPr>
                    <w:t>3</w:t>
                  </w:r>
                  <w:r>
                    <w:rPr>
                      <w:sz w:val="18"/>
                      <w:szCs w:val="18"/>
                    </w:rPr>
                    <w:t>1</w:t>
                  </w:r>
                  <w:r>
                    <w:rPr>
                      <w:rFonts w:hint="eastAsia"/>
                      <w:sz w:val="18"/>
                      <w:szCs w:val="18"/>
                    </w:rPr>
                    <w:t xml:space="preserve"> 000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noWrap w:val="0"/>
                  <w:vAlign w:val="center"/>
                </w:tcPr>
                <w:p>
                  <w:pPr>
                    <w:spacing w:line="240" w:lineRule="auto"/>
                    <w:jc w:val="center"/>
                    <w:rPr>
                      <w:rFonts w:hint="eastAsia"/>
                      <w:sz w:val="18"/>
                      <w:szCs w:val="18"/>
                    </w:rPr>
                  </w:pPr>
                  <w:r>
                    <w:rPr>
                      <w:rFonts w:hint="eastAsia"/>
                      <w:sz w:val="18"/>
                      <w:szCs w:val="18"/>
                    </w:rPr>
                    <w:t>原材料</w:t>
                  </w:r>
                </w:p>
              </w:tc>
              <w:tc>
                <w:tcPr>
                  <w:tcW w:w="1511" w:type="dxa"/>
                  <w:tcBorders>
                    <w:top w:val="single" w:color="auto" w:sz="4" w:space="0"/>
                    <w:bottom w:val="single" w:color="auto" w:sz="4" w:space="0"/>
                    <w:right w:val="double" w:color="auto" w:sz="4" w:space="0"/>
                  </w:tcBorders>
                  <w:noWrap w:val="0"/>
                  <w:vAlign w:val="center"/>
                </w:tcPr>
                <w:p>
                  <w:pPr>
                    <w:spacing w:line="240" w:lineRule="auto"/>
                    <w:jc w:val="center"/>
                    <w:rPr>
                      <w:sz w:val="18"/>
                      <w:szCs w:val="18"/>
                    </w:rPr>
                  </w:pPr>
                  <w:r>
                    <w:rPr>
                      <w:rFonts w:hint="eastAsia"/>
                      <w:sz w:val="18"/>
                      <w:szCs w:val="18"/>
                    </w:rPr>
                    <w:t>10 000</w:t>
                  </w:r>
                </w:p>
              </w:tc>
              <w:tc>
                <w:tcPr>
                  <w:tcW w:w="1511" w:type="dxa"/>
                  <w:tcBorders>
                    <w:left w:val="double" w:color="auto" w:sz="4" w:space="0"/>
                  </w:tcBorders>
                  <w:noWrap w:val="0"/>
                  <w:vAlign w:val="center"/>
                </w:tcPr>
                <w:p>
                  <w:pPr>
                    <w:spacing w:line="240" w:lineRule="auto"/>
                    <w:jc w:val="center"/>
                    <w:rPr>
                      <w:rFonts w:hint="eastAsia"/>
                      <w:sz w:val="18"/>
                      <w:szCs w:val="18"/>
                    </w:rPr>
                  </w:pPr>
                  <w:r>
                    <w:rPr>
                      <w:rFonts w:hint="eastAsia"/>
                      <w:sz w:val="18"/>
                      <w:szCs w:val="18"/>
                    </w:rPr>
                    <w:t>应付</w:t>
                  </w:r>
                  <w:r>
                    <w:rPr>
                      <w:sz w:val="18"/>
                      <w:szCs w:val="18"/>
                    </w:rPr>
                    <w:t>职工薪酬</w:t>
                  </w:r>
                </w:p>
              </w:tc>
              <w:tc>
                <w:tcPr>
                  <w:tcW w:w="1511" w:type="dxa"/>
                  <w:noWrap w:val="0"/>
                  <w:vAlign w:val="center"/>
                </w:tcPr>
                <w:p>
                  <w:pPr>
                    <w:spacing w:line="240" w:lineRule="auto"/>
                    <w:jc w:val="center"/>
                    <w:rPr>
                      <w:sz w:val="18"/>
                      <w:szCs w:val="18"/>
                    </w:rPr>
                  </w:pPr>
                  <w:r>
                    <w:rPr>
                      <w:rFonts w:hint="eastAsia"/>
                      <w:sz w:val="18"/>
                      <w:szCs w:val="18"/>
                    </w:rPr>
                    <w:t>15 000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noWrap w:val="0"/>
                  <w:vAlign w:val="center"/>
                </w:tcPr>
                <w:p>
                  <w:pPr>
                    <w:spacing w:line="240" w:lineRule="auto"/>
                    <w:jc w:val="center"/>
                    <w:rPr>
                      <w:sz w:val="18"/>
                      <w:szCs w:val="18"/>
                    </w:rPr>
                  </w:pPr>
                  <w:r>
                    <w:rPr>
                      <w:sz w:val="18"/>
                      <w:szCs w:val="18"/>
                    </w:rPr>
                    <w:t>固定资产</w:t>
                  </w:r>
                </w:p>
              </w:tc>
              <w:tc>
                <w:tcPr>
                  <w:tcW w:w="1511" w:type="dxa"/>
                  <w:tcBorders>
                    <w:top w:val="single" w:color="auto" w:sz="4" w:space="0"/>
                    <w:bottom w:val="single" w:color="auto" w:sz="4" w:space="0"/>
                    <w:right w:val="double" w:color="auto" w:sz="4" w:space="0"/>
                  </w:tcBorders>
                  <w:noWrap w:val="0"/>
                  <w:vAlign w:val="center"/>
                </w:tcPr>
                <w:p>
                  <w:pPr>
                    <w:spacing w:line="240" w:lineRule="auto"/>
                    <w:jc w:val="center"/>
                    <w:rPr>
                      <w:sz w:val="18"/>
                      <w:szCs w:val="18"/>
                    </w:rPr>
                  </w:pPr>
                  <w:r>
                    <w:rPr>
                      <w:rFonts w:hint="eastAsia"/>
                      <w:sz w:val="18"/>
                      <w:szCs w:val="18"/>
                    </w:rPr>
                    <w:t>50 000</w:t>
                  </w:r>
                </w:p>
              </w:tc>
              <w:tc>
                <w:tcPr>
                  <w:tcW w:w="1511" w:type="dxa"/>
                  <w:tcBorders>
                    <w:left w:val="double" w:color="auto" w:sz="4" w:space="0"/>
                  </w:tcBorders>
                  <w:noWrap w:val="0"/>
                  <w:vAlign w:val="center"/>
                </w:tcPr>
                <w:p>
                  <w:pPr>
                    <w:spacing w:line="240" w:lineRule="auto"/>
                    <w:jc w:val="center"/>
                    <w:rPr>
                      <w:sz w:val="18"/>
                      <w:szCs w:val="18"/>
                    </w:rPr>
                  </w:pPr>
                  <w:r>
                    <w:rPr>
                      <w:sz w:val="18"/>
                      <w:szCs w:val="18"/>
                    </w:rPr>
                    <w:t>实收资本</w:t>
                  </w:r>
                </w:p>
              </w:tc>
              <w:tc>
                <w:tcPr>
                  <w:tcW w:w="1511" w:type="dxa"/>
                  <w:noWrap w:val="0"/>
                  <w:vAlign w:val="center"/>
                </w:tcPr>
                <w:p>
                  <w:pPr>
                    <w:spacing w:line="240" w:lineRule="auto"/>
                    <w:jc w:val="center"/>
                    <w:rPr>
                      <w:sz w:val="18"/>
                      <w:szCs w:val="18"/>
                    </w:rPr>
                  </w:pPr>
                  <w:r>
                    <w:rPr>
                      <w:rFonts w:hint="eastAsia"/>
                      <w:sz w:val="18"/>
                      <w:szCs w:val="18"/>
                    </w:rPr>
                    <w:t>80 000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11" w:type="dxa"/>
                  <w:noWrap w:val="0"/>
                  <w:vAlign w:val="center"/>
                </w:tcPr>
                <w:p>
                  <w:pPr>
                    <w:spacing w:line="240" w:lineRule="auto"/>
                    <w:jc w:val="center"/>
                    <w:rPr>
                      <w:sz w:val="18"/>
                      <w:szCs w:val="18"/>
                    </w:rPr>
                  </w:pPr>
                  <w:r>
                    <w:rPr>
                      <w:rFonts w:hint="eastAsia"/>
                      <w:sz w:val="18"/>
                      <w:szCs w:val="18"/>
                    </w:rPr>
                    <w:t>合计</w:t>
                  </w:r>
                </w:p>
              </w:tc>
              <w:tc>
                <w:tcPr>
                  <w:tcW w:w="1511" w:type="dxa"/>
                  <w:tcBorders>
                    <w:top w:val="single" w:color="auto" w:sz="4" w:space="0"/>
                    <w:bottom w:val="single" w:color="auto" w:sz="8" w:space="0"/>
                    <w:right w:val="double" w:color="auto" w:sz="4" w:space="0"/>
                  </w:tcBorders>
                  <w:noWrap w:val="0"/>
                  <w:vAlign w:val="center"/>
                </w:tcPr>
                <w:p>
                  <w:pPr>
                    <w:spacing w:line="240" w:lineRule="auto"/>
                    <w:jc w:val="center"/>
                    <w:rPr>
                      <w:sz w:val="18"/>
                      <w:szCs w:val="18"/>
                    </w:rPr>
                  </w:pPr>
                  <w:r>
                    <w:rPr>
                      <w:rFonts w:hint="eastAsia"/>
                      <w:sz w:val="18"/>
                      <w:szCs w:val="18"/>
                    </w:rPr>
                    <w:t>176 000</w:t>
                  </w:r>
                </w:p>
              </w:tc>
              <w:tc>
                <w:tcPr>
                  <w:tcW w:w="1511" w:type="dxa"/>
                  <w:tcBorders>
                    <w:left w:val="double" w:color="auto" w:sz="4" w:space="0"/>
                  </w:tcBorders>
                  <w:noWrap w:val="0"/>
                  <w:vAlign w:val="center"/>
                </w:tcPr>
                <w:p>
                  <w:pPr>
                    <w:spacing w:line="240" w:lineRule="auto"/>
                    <w:jc w:val="center"/>
                    <w:rPr>
                      <w:sz w:val="18"/>
                      <w:szCs w:val="18"/>
                    </w:rPr>
                  </w:pPr>
                  <w:r>
                    <w:rPr>
                      <w:rFonts w:hint="eastAsia"/>
                      <w:sz w:val="18"/>
                      <w:szCs w:val="18"/>
                    </w:rPr>
                    <w:t>合计</w:t>
                  </w:r>
                </w:p>
              </w:tc>
              <w:tc>
                <w:tcPr>
                  <w:tcW w:w="1511" w:type="dxa"/>
                  <w:noWrap w:val="0"/>
                  <w:vAlign w:val="center"/>
                </w:tcPr>
                <w:p>
                  <w:pPr>
                    <w:spacing w:line="240" w:lineRule="auto"/>
                    <w:jc w:val="center"/>
                    <w:rPr>
                      <w:sz w:val="18"/>
                      <w:szCs w:val="18"/>
                    </w:rPr>
                  </w:pPr>
                  <w:r>
                    <w:rPr>
                      <w:rFonts w:hint="eastAsia"/>
                      <w:sz w:val="18"/>
                      <w:szCs w:val="18"/>
                    </w:rPr>
                    <w:t>176 000</w:t>
                  </w:r>
                </w:p>
              </w:tc>
            </w:tr>
          </w:tbl>
          <w:p>
            <w:pPr>
              <w:pStyle w:val="8"/>
              <w:adjustRightInd w:val="0"/>
              <w:snapToGrid w:val="0"/>
              <w:spacing w:before="0" w:after="0"/>
              <w:ind w:firstLine="360" w:firstLineChars="200"/>
              <w:rPr>
                <w:rFonts w:hint="eastAsia"/>
              </w:rPr>
            </w:pP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1．甲公司7月份发生的经济业务如表4-2-4（详见教材）所示，请据此运用借贷记账法编制相关会计分录（不考虑相关税费）。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2．根据表4-2-3所列的期初余额与表4-2-4（详见教材）中的会计分录，开设并登记有关“T”型账户，结出本期发生额及期末余额。</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3．根据所登记的“T”型账户的有关记录，编制总分类账户试算平衡表（填入表4-2-5中）。</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……（表格详见教材）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w:t>
            </w:r>
            <w:bookmarkStart w:id="0" w:name="OLE_LINK12"/>
            <w:r>
              <w:rPr>
                <w:rFonts w:hint="eastAsia" w:asciiTheme="minorEastAsia" w:hAnsiTheme="minorEastAsia" w:eastAsiaTheme="minorEastAsia" w:cstheme="minorEastAsia"/>
                <w:kern w:val="2"/>
                <w:sz w:val="28"/>
                <w:szCs w:val="28"/>
                <w:vertAlign w:val="baseline"/>
                <w:lang w:val="en-US" w:eastAsia="zh-CN" w:bidi="ar-SA"/>
              </w:rPr>
              <w:t>聆听、结组、思考、讨论、派代表发表讨论结果</w:t>
            </w:r>
            <w:bookmarkEnd w:id="0"/>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w:t>
            </w:r>
            <w:bookmarkStart w:id="1" w:name="OLE_LINK13"/>
            <w:r>
              <w:rPr>
                <w:rFonts w:hint="eastAsia" w:asciiTheme="minorEastAsia" w:hAnsiTheme="minorEastAsia" w:eastAsiaTheme="minorEastAsia" w:cstheme="minorEastAsia"/>
                <w:kern w:val="2"/>
                <w:sz w:val="28"/>
                <w:szCs w:val="28"/>
                <w:vertAlign w:val="baseline"/>
                <w:lang w:val="en-US" w:eastAsia="zh-CN" w:bidi="ar-SA"/>
              </w:rPr>
              <w:t>评价学生的回答</w:t>
            </w:r>
            <w:bookmarkEnd w:id="1"/>
            <w:r>
              <w:rPr>
                <w:rFonts w:hint="eastAsia" w:asciiTheme="minorEastAsia" w:hAnsiTheme="minorEastAsia" w:eastAsiaTheme="minorEastAsia" w:cstheme="minorEastAsia"/>
                <w:kern w:val="2"/>
                <w:sz w:val="28"/>
                <w:szCs w:val="28"/>
                <w:vertAlign w:val="baseline"/>
                <w:lang w:val="en-US" w:eastAsia="zh-CN" w:bidi="ar-SA"/>
              </w:rPr>
              <w:t>并进行考核</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复式记账法的概念与种类、会计分录的分类、借贷记账法的原理，以及借贷记账法下的账户结构和试算平衡等内容，希望大家在课下多加练习，巩固所学知识，能够根据经济业务编制会计分录并进行试算平衡。</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在教学中遇到一些意想不到的问题，导致学生不能按计划时间回答问题。在我们设计教学方案时，应该思考：“学生已有哪些生活经验和知识储备”“怎样依据有关理论和学生实际设计易于为学生理解的教学方案”“学生在接受新知识时会出现哪些情况”等。要在备课时，预备好各种不同的学习方案。</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0c39f531-1411-4939-826e-6dfe7c7da414"/>
  </w:docVars>
  <w:rsids>
    <w:rsidRoot w:val="00000000"/>
    <w:rsid w:val="02E768FA"/>
    <w:rsid w:val="05336716"/>
    <w:rsid w:val="06BE655F"/>
    <w:rsid w:val="0C354C94"/>
    <w:rsid w:val="14AA6054"/>
    <w:rsid w:val="2B313EFB"/>
    <w:rsid w:val="2D807365"/>
    <w:rsid w:val="2DF21528"/>
    <w:rsid w:val="3AB01F15"/>
    <w:rsid w:val="3FDC4940"/>
    <w:rsid w:val="4A570373"/>
    <w:rsid w:val="50CF1BEE"/>
    <w:rsid w:val="514E20B3"/>
    <w:rsid w:val="61BB2986"/>
    <w:rsid w:val="63FA5C44"/>
    <w:rsid w:val="684D54B1"/>
    <w:rsid w:val="6E4C6A96"/>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6612</Words>
  <Characters>6886</Characters>
  <Lines>0</Lines>
  <Paragraphs>0</Paragraphs>
  <TotalTime>6</TotalTime>
  <ScaleCrop>false</ScaleCrop>
  <LinksUpToDate>false</LinksUpToDate>
  <CharactersWithSpaces>7286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57941608A12D412C85E91F8F6AADFE90_13</vt:lpwstr>
  </property>
</Properties>
</file>