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b/>
          <w:bCs/>
          <w:sz w:val="36"/>
          <w:szCs w:val="36"/>
          <w:lang w:val="en-US" w:eastAsia="zh-CN"/>
        </w:rPr>
      </w:pPr>
      <w:r>
        <w:rPr>
          <w:rFonts w:hint="eastAsia"/>
          <w:b/>
          <w:bCs/>
          <w:sz w:val="36"/>
          <w:szCs w:val="36"/>
          <w:lang w:val="en-US" w:eastAsia="zh-CN"/>
        </w:rPr>
        <w:t>课程教案</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2364"/>
        <w:gridCol w:w="1986"/>
        <w:gridCol w:w="2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授课时间</w:t>
            </w:r>
          </w:p>
        </w:tc>
        <w:tc>
          <w:tcPr>
            <w:tcW w:w="2364" w:type="dxa"/>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第十三周2课时</w:t>
            </w:r>
          </w:p>
        </w:tc>
        <w:tc>
          <w:tcPr>
            <w:tcW w:w="198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授课章节</w:t>
            </w:r>
          </w:p>
        </w:tc>
        <w:tc>
          <w:tcPr>
            <w:tcW w:w="2276" w:type="dxa"/>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第五</w:t>
            </w:r>
            <w:bookmarkStart w:id="0" w:name="_GoBack"/>
            <w:bookmarkEnd w:id="0"/>
            <w:r>
              <w:rPr>
                <w:rFonts w:hint="eastAsia" w:asciiTheme="minorEastAsia" w:hAnsiTheme="minorEastAsia" w:cstheme="minorEastAsia"/>
                <w:sz w:val="28"/>
                <w:szCs w:val="28"/>
                <w:vertAlign w:val="baseline"/>
                <w:lang w:val="en-US" w:eastAsia="zh-CN"/>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授课题目</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第</w:t>
            </w:r>
            <w:r>
              <w:rPr>
                <w:rFonts w:hint="eastAsia" w:asciiTheme="minorEastAsia" w:hAnsiTheme="minorEastAsia" w:cstheme="minorEastAsia"/>
                <w:sz w:val="28"/>
                <w:szCs w:val="28"/>
                <w:vertAlign w:val="baseline"/>
                <w:lang w:val="en-US" w:eastAsia="zh-CN"/>
              </w:rPr>
              <w:t>8</w:t>
            </w:r>
            <w:r>
              <w:rPr>
                <w:rFonts w:hint="default" w:asciiTheme="minorEastAsia" w:hAnsiTheme="minorEastAsia" w:eastAsiaTheme="minorEastAsia" w:cstheme="minorEastAsia"/>
                <w:sz w:val="28"/>
                <w:szCs w:val="28"/>
                <w:vertAlign w:val="baseline"/>
                <w:lang w:val="en-US" w:eastAsia="zh-CN"/>
              </w:rPr>
              <w:t>课  核算固定资产业务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授课类型</w:t>
            </w:r>
          </w:p>
        </w:tc>
        <w:tc>
          <w:tcPr>
            <w:tcW w:w="6626" w:type="dxa"/>
            <w:gridSpan w:val="3"/>
            <w:vAlign w:val="center"/>
          </w:tcPr>
          <w:p>
            <w:pPr>
              <w:ind w:firstLine="1120" w:firstLineChars="400"/>
              <w:jc w:val="both"/>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 xml:space="preserve">理论( </w:t>
            </w:r>
            <w:r>
              <w:rPr>
                <w:rFonts w:hint="default" w:ascii="Arial" w:hAnsi="Arial" w:cs="Arial"/>
                <w:sz w:val="28"/>
                <w:szCs w:val="28"/>
                <w:vertAlign w:val="baseline"/>
                <w:lang w:val="en-US" w:eastAsia="zh-CN"/>
              </w:rPr>
              <w:t>√</w:t>
            </w:r>
            <w:r>
              <w:rPr>
                <w:rFonts w:hint="eastAsia" w:asciiTheme="minorEastAsia" w:hAnsiTheme="minorEastAsia" w:cstheme="minorEastAsia"/>
                <w:sz w:val="28"/>
                <w:szCs w:val="28"/>
                <w:vertAlign w:val="baseline"/>
                <w:lang w:val="en-US" w:eastAsia="zh-CN"/>
              </w:rPr>
              <w:t xml:space="preserve">  )      实践(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89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教学目的</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与要求</w:t>
            </w:r>
          </w:p>
        </w:tc>
        <w:tc>
          <w:tcPr>
            <w:tcW w:w="6626" w:type="dxa"/>
            <w:gridSpan w:val="3"/>
            <w:vAlign w:val="center"/>
          </w:tcPr>
          <w:p>
            <w:pPr>
              <w:jc w:val="left"/>
              <w:rPr>
                <w:rFonts w:hint="default" w:asciiTheme="minorEastAsia" w:hAnsiTheme="minorEastAsia" w:eastAsiaTheme="minorEastAsia" w:cstheme="minorEastAsia"/>
                <w:sz w:val="28"/>
                <w:szCs w:val="28"/>
                <w:highlight w:val="yellow"/>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知识技能目标：</w:t>
            </w:r>
          </w:p>
          <w:p>
            <w:pPr>
              <w:jc w:val="left"/>
              <w:rPr>
                <w:rFonts w:hint="default" w:asciiTheme="minorEastAsia" w:hAnsiTheme="minorEastAsia" w:eastAsiaTheme="minorEastAsia" w:cstheme="minorEastAsia"/>
                <w:sz w:val="28"/>
                <w:szCs w:val="28"/>
                <w:highlight w:val="none"/>
                <w:vertAlign w:val="baseline"/>
                <w:lang w:val="en-US" w:eastAsia="zh-CN"/>
              </w:rPr>
            </w:pPr>
            <w:r>
              <w:rPr>
                <w:rFonts w:hint="default" w:asciiTheme="minorEastAsia" w:hAnsiTheme="minorEastAsia" w:eastAsiaTheme="minorEastAsia" w:cstheme="minorEastAsia"/>
                <w:sz w:val="28"/>
                <w:szCs w:val="28"/>
                <w:highlight w:val="none"/>
                <w:vertAlign w:val="baseline"/>
                <w:lang w:val="en-US" w:eastAsia="zh-CN"/>
              </w:rPr>
              <w:t>（1）了解固定资产的概念与特征</w:t>
            </w:r>
          </w:p>
          <w:p>
            <w:pPr>
              <w:jc w:val="left"/>
              <w:rPr>
                <w:rFonts w:hint="default" w:asciiTheme="minorEastAsia" w:hAnsiTheme="minorEastAsia" w:eastAsiaTheme="minorEastAsia" w:cstheme="minorEastAsia"/>
                <w:sz w:val="28"/>
                <w:szCs w:val="28"/>
                <w:highlight w:val="none"/>
                <w:vertAlign w:val="baseline"/>
                <w:lang w:val="en-US" w:eastAsia="zh-CN"/>
              </w:rPr>
            </w:pPr>
            <w:r>
              <w:rPr>
                <w:rFonts w:hint="default" w:asciiTheme="minorEastAsia" w:hAnsiTheme="minorEastAsia" w:eastAsiaTheme="minorEastAsia" w:cstheme="minorEastAsia"/>
                <w:sz w:val="28"/>
                <w:szCs w:val="28"/>
                <w:highlight w:val="none"/>
                <w:vertAlign w:val="baseline"/>
                <w:lang w:val="en-US" w:eastAsia="zh-CN"/>
              </w:rPr>
              <w:t>（2）熟悉固定资产的成本和折旧</w:t>
            </w:r>
          </w:p>
          <w:p>
            <w:pPr>
              <w:jc w:val="left"/>
              <w:rPr>
                <w:rFonts w:hint="default" w:asciiTheme="minorEastAsia" w:hAnsiTheme="minorEastAsia" w:eastAsiaTheme="minorEastAsia" w:cstheme="minorEastAsia"/>
                <w:sz w:val="28"/>
                <w:szCs w:val="28"/>
                <w:highlight w:val="none"/>
                <w:vertAlign w:val="baseline"/>
                <w:lang w:val="en-US" w:eastAsia="zh-CN"/>
              </w:rPr>
            </w:pPr>
            <w:r>
              <w:rPr>
                <w:rFonts w:hint="default" w:asciiTheme="minorEastAsia" w:hAnsiTheme="minorEastAsia" w:eastAsiaTheme="minorEastAsia" w:cstheme="minorEastAsia"/>
                <w:sz w:val="28"/>
                <w:szCs w:val="28"/>
                <w:highlight w:val="none"/>
                <w:vertAlign w:val="baseline"/>
                <w:lang w:val="en-US" w:eastAsia="zh-CN"/>
              </w:rPr>
              <w:t>（3）掌握固定资产折旧业务的账户设置和账务处理</w:t>
            </w:r>
          </w:p>
          <w:p>
            <w:pPr>
              <w:jc w:val="left"/>
              <w:rPr>
                <w:rFonts w:hint="default" w:asciiTheme="minorEastAsia" w:hAnsiTheme="minorEastAsia" w:eastAsiaTheme="minorEastAsia" w:cstheme="minorEastAsia"/>
                <w:sz w:val="28"/>
                <w:szCs w:val="28"/>
                <w:highlight w:val="yellow"/>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素质目标：</w:t>
            </w:r>
          </w:p>
          <w:p>
            <w:pPr>
              <w:jc w:val="left"/>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highlight w:val="none"/>
                <w:vertAlign w:val="baseline"/>
                <w:lang w:val="en-US" w:eastAsia="zh-CN"/>
              </w:rPr>
              <w:t>通过对企业固定资产业务进行核算，培养爱岗敬业的工作作风，保持应有的专业水平，并提高职业水平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教学重点</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固定资产的概念与特征，固定资产的成本和折旧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教学难点</w:t>
            </w:r>
          </w:p>
        </w:tc>
        <w:tc>
          <w:tcPr>
            <w:tcW w:w="6626" w:type="dxa"/>
            <w:gridSpan w:val="3"/>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运用借贷记账法正确核算企业的固定资产折旧业务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教学方法</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案例分析法、问答法、讨论法、讲授法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教具仪器</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电脑、投影仪、多媒体课件、教材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教学设计</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第1节课：</w:t>
            </w:r>
            <w:r>
              <w:rPr>
                <w:rFonts w:hint="default" w:asciiTheme="minorEastAsia" w:hAnsiTheme="minorEastAsia" w:eastAsiaTheme="minorEastAsia" w:cstheme="minorEastAsia"/>
                <w:sz w:val="28"/>
                <w:szCs w:val="28"/>
                <w:vertAlign w:val="baseline"/>
                <w:lang w:val="en-US" w:eastAsia="zh-CN"/>
              </w:rPr>
              <w:t>考勤（2 min）→问题导入（5 min）→传授新知（28 min）→课堂讨论（10 min）</w:t>
            </w:r>
          </w:p>
          <w:p>
            <w:pPr>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第2节课：</w:t>
            </w:r>
            <w:r>
              <w:rPr>
                <w:rFonts w:hint="default" w:asciiTheme="minorEastAsia" w:hAnsiTheme="minorEastAsia" w:eastAsiaTheme="minorEastAsia" w:cstheme="minorEastAsia"/>
                <w:sz w:val="28"/>
                <w:szCs w:val="28"/>
                <w:vertAlign w:val="baseline"/>
                <w:lang w:val="en-US" w:eastAsia="zh-CN"/>
              </w:rPr>
              <w:t>问题导入（3 min）→传授新知（25 min）→课堂实训（12 min）→课堂小结（3 min）→作业布置（2 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学</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过</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46" w:type="dxa"/>
            <w:gridSpan w:val="3"/>
            <w:vMerge w:val="restart"/>
            <w:vAlign w:val="center"/>
          </w:tcPr>
          <w:p>
            <w:pPr>
              <w:jc w:val="center"/>
              <w:rPr>
                <w:rFonts w:hint="default" w:asciiTheme="minorEastAsia" w:hAnsiTheme="minorEastAsia" w:eastAsiaTheme="minorEastAsia" w:cstheme="minorEastAsia"/>
                <w:b/>
                <w:bCs/>
                <w:sz w:val="36"/>
                <w:szCs w:val="36"/>
                <w:highlight w:val="yellow"/>
                <w:vertAlign w:val="baseline"/>
                <w:lang w:val="en-US" w:eastAsia="zh-CN"/>
              </w:rPr>
            </w:pPr>
            <w:r>
              <w:rPr>
                <w:rFonts w:hint="eastAsia" w:asciiTheme="minorEastAsia" w:hAnsiTheme="minorEastAsia" w:cstheme="minorEastAsia"/>
                <w:b/>
                <w:bCs/>
                <w:sz w:val="36"/>
                <w:szCs w:val="36"/>
                <w:highlight w:val="yellow"/>
                <w:vertAlign w:val="baseline"/>
                <w:lang w:val="en-US" w:eastAsia="zh-CN"/>
              </w:rPr>
              <w:t>第一节课</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highlight w:val="yellow"/>
                <w:vertAlign w:val="baseline"/>
                <w:lang w:val="en-US" w:eastAsia="zh-CN"/>
              </w:rPr>
              <w:t>考勤（2 min）</w:t>
            </w:r>
            <w:r>
              <w:rPr>
                <w:rFonts w:hint="eastAsia" w:asciiTheme="minorEastAsia" w:hAnsiTheme="minorEastAsia" w:cstheme="minorEastAsia"/>
                <w:b/>
                <w:bCs/>
                <w:sz w:val="28"/>
                <w:szCs w:val="28"/>
                <w:highlight w:val="yellow"/>
                <w:vertAlign w:val="baseline"/>
                <w:lang w:val="en-US" w:eastAsia="zh-CN"/>
              </w:rPr>
              <w:t>：</w:t>
            </w:r>
            <w:r>
              <w:rPr>
                <w:rFonts w:hint="eastAsia" w:asciiTheme="minorEastAsia" w:hAnsiTheme="minorEastAsia" w:eastAsiaTheme="minorEastAsia" w:cstheme="minorEastAsia"/>
                <w:sz w:val="28"/>
                <w:szCs w:val="28"/>
                <w:vertAlign w:val="baseline"/>
                <w:lang w:val="en-US" w:eastAsia="zh-CN"/>
              </w:rPr>
              <w:t>【教师】使用点名册进行签到</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【学生】按照老师要求签到</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highlight w:val="yellow"/>
                <w:vertAlign w:val="baseline"/>
                <w:lang w:val="en-US" w:eastAsia="zh-CN"/>
              </w:rPr>
              <w:t>问题导入（</w:t>
            </w:r>
            <w:r>
              <w:rPr>
                <w:rFonts w:hint="eastAsia" w:asciiTheme="minorEastAsia" w:hAnsiTheme="minorEastAsia" w:cstheme="minorEastAsia"/>
                <w:b/>
                <w:bCs/>
                <w:sz w:val="28"/>
                <w:szCs w:val="28"/>
                <w:highlight w:val="yellow"/>
                <w:vertAlign w:val="baseline"/>
                <w:lang w:val="en-US" w:eastAsia="zh-CN"/>
              </w:rPr>
              <w:t>5</w:t>
            </w:r>
            <w:r>
              <w:rPr>
                <w:rFonts w:hint="eastAsia" w:asciiTheme="minorEastAsia" w:hAnsiTheme="minorEastAsia" w:eastAsiaTheme="minorEastAsia" w:cstheme="minorEastAsia"/>
                <w:b/>
                <w:bCs/>
                <w:sz w:val="28"/>
                <w:szCs w:val="28"/>
                <w:highlight w:val="yellow"/>
                <w:vertAlign w:val="baseline"/>
                <w:lang w:val="en-US" w:eastAsia="zh-CN"/>
              </w:rPr>
              <w:t xml:space="preserve"> min）</w:t>
            </w:r>
            <w:r>
              <w:rPr>
                <w:rFonts w:hint="eastAsia" w:asciiTheme="minorEastAsia" w:hAnsiTheme="minorEastAsia" w:cstheme="minorEastAsia"/>
                <w:b/>
                <w:bCs/>
                <w:sz w:val="28"/>
                <w:szCs w:val="28"/>
                <w:highlight w:val="yellow"/>
                <w:vertAlign w:val="baseline"/>
                <w:lang w:val="en-US" w:eastAsia="zh-CN"/>
              </w:rPr>
              <w:t>：</w:t>
            </w:r>
            <w:r>
              <w:rPr>
                <w:rFonts w:hint="eastAsia" w:asciiTheme="minorEastAsia" w:hAnsiTheme="minorEastAsia" w:eastAsiaTheme="minorEastAsia" w:cstheme="minorEastAsia"/>
                <w:sz w:val="28"/>
                <w:szCs w:val="28"/>
                <w:vertAlign w:val="baseline"/>
                <w:lang w:val="en-US" w:eastAsia="zh-CN"/>
              </w:rPr>
              <w:t>【教师】提出问题</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企业中的哪些资产属于固定资产？</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【学生】思考、举手回答</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传授新知（28 min）</w:t>
            </w:r>
            <w:r>
              <w:rPr>
                <w:rFonts w:hint="eastAsia" w:asciiTheme="minorEastAsia" w:hAnsiTheme="minorEastAsia" w:cstheme="minorEastAsia"/>
                <w:b/>
                <w:bCs/>
                <w:kern w:val="2"/>
                <w:sz w:val="28"/>
                <w:szCs w:val="28"/>
                <w:highlight w:val="yellow"/>
                <w:vertAlign w:val="baseline"/>
                <w:lang w:val="en-US" w:eastAsia="zh-CN" w:bidi="ar-SA"/>
              </w:rPr>
              <w:t>：</w:t>
            </w:r>
            <w:r>
              <w:rPr>
                <w:rFonts w:hint="eastAsia" w:asciiTheme="minorEastAsia" w:hAnsiTheme="minorEastAsia" w:eastAsiaTheme="minorEastAsia" w:cstheme="minorEastAsia"/>
                <w:kern w:val="2"/>
                <w:sz w:val="28"/>
                <w:szCs w:val="28"/>
                <w:vertAlign w:val="baseline"/>
                <w:lang w:val="en-US" w:eastAsia="zh-CN" w:bidi="ar-SA"/>
              </w:rPr>
              <w:t>【教师】总结学生的回答，并引入新知，讲解核算固定资产业务等相关知识</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一、固定资产的概念与特征</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固定资产，是指为生产商品、提供劳务、出租或者经营管理而持有、使用寿命超过一个会计年度的有形资产。</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通过固定资产的定义，总结一下固定资产的特征有哪些？</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（1）属于一种有形资产。这一特征将固定资产与无形资产区别开来。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（2）为生产商品、提供劳务、出租或者经营管理而持有。</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（3）使用寿命超过一个会计年度。。</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二、固定资产的成本</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固定资产的成本指的是什么？</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固定资产的成本，是指企业购建某项固定资产达到预定可使用状态前所发生的一切合理的、必要的支出。</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企业可以通过外购、自行建造、投资者投入、非货币性资产交换、债务重组等方式取得固定资产。不同取得方式下，固定资产成本的具体构成内容及其确认方法也不尽相同。</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企业外购的固定资产，应按实际支付的购买价款、相关税费、使固定资产达到预定可使用状态前所发生的可归属于该项资产的运输费、装卸费、安装费和专业人员服务费等，作为固定资产的取得成本。</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✈【小提示】</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企业以一笔款项购入多项没有单独标价的固定资产，应将各项资产单独确认为固定资产，并按各项固定资产公允价值的比例对总成本进行分配，分别确定各项固定资产的成本。</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三、固定资产的折旧</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（一）固定资产折旧概述</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你是怎样理解折旧的？固定资产折旧指的是哪部分内容？</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固定资产折旧，是指在固定资产使用寿命内，按照确定的方法对应计折旧额进行的系统分摊。</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1．固定资产折旧的影响因素</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影响企业固定资产折旧的影响因素有哪些？</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（1）固定资产原价，是指固定资产的成本。</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（2）预计净残值，是指假定固定资产预计使用寿命已满并处于使用寿命终了时的预期状态，企业目前从该项资产处置中获得的扣除预计处置费用后的金额。</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（3）固定资产的使用寿命，是指企业使用固定资产的预计期间，或者该固定资产所能生产产品或提供劳务的数量。</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（4）固定资产减值准备，是指固定资产已计提的固定资产减值准备累计金额。</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2．固定资产的折旧范围</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除已提足折旧仍继续使用的固定资产和单独计价入账的土地外，企业应当对所有固定资产计提折旧。在确定计提折旧的范围时，还应注意以下几点。</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（1）固定资产应当按月计提折旧，当月增加的固定资产，当月不计提折旧，从下月起计提折旧；当月减少的固定资产，当月仍计提折旧，从下月起不计提折旧。</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（2）固定资产提足折旧后，不论能否继续使用，均不再计提折旧；提前报废的固定资产，也不再补提折旧。所谓提足折旧，是指已经提足该项固定资产的应计折旧额。</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（二）计提固定资产折旧的方法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企业可选用的折旧方法有年限平均法、工作量法、双倍余额递减法和年数总和法等。本教材重点介绍年限平均法。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年限平均法（又称直线法），是指将固定资产的应计折旧额均衡地分摊到固定资产预计使用寿命内的一种方法。采用这种方法计算的每期折旧额是相等的。</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年限平均法的计算公式如下：</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年折旧率=（1−预计净残值率）÷预计使用寿命（年）×100%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月折旧率=年折旧率÷12</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月折旧额=固定资产原价×月折旧率</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✈【教师】让学生思考“经典例题”【例5-5】</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某企业外购一台设备，原价为100 000元，预计可使用20年，该设备报废时的净残值率为4%。计算该设备的折旧率和月折旧额是多少？</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✈【学生】聆听、理解、主动回答问题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✈【教师】与学生一起分析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年折旧率=（1−4%）÷20=4.8%</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月折旧率=4.8%÷12=0.4%</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月折旧额=100 000×0.4%=400元</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企业应当根据与固定资产有关的经济利益的预期实现方式，合理选择固定资产折旧方法。固定资产折旧方法一经确定，不得随意变更。</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固定资产在其使用过程中，因所处经济环境、技术环境及其他环境均有可能发生很大变化，企业至少应当于每年年度终了，对固定资产的使用寿命、预计净残值和折旧方法进行复核。</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✈【小提示】</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固定资产使用寿命、预计净残值和折旧方法的改变，应作为会计估计变更处理。</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课堂讨论（10 min）：</w:t>
            </w:r>
            <w:r>
              <w:rPr>
                <w:rFonts w:hint="eastAsia" w:asciiTheme="minorEastAsia" w:hAnsiTheme="minorEastAsia" w:eastAsiaTheme="minorEastAsia" w:cstheme="minorEastAsia"/>
                <w:kern w:val="2"/>
                <w:sz w:val="28"/>
                <w:szCs w:val="28"/>
                <w:vertAlign w:val="baseline"/>
                <w:lang w:val="en-US" w:eastAsia="zh-CN" w:bidi="ar-SA"/>
              </w:rPr>
              <w:t>【教师】将学生分组，提出以下问题让学生分析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已达到预定可使用状态但尚未办理竣工决算的固定资产怎样计算其折旧。</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【学生】聆听、结组、思考、讨论、派代表发表讨论结果</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w:t>
            </w:r>
          </w:p>
          <w:p>
            <w:pPr>
              <w:pStyle w:val="8"/>
              <w:spacing w:before="60" w:after="60"/>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已达到预定可使用状态但尚未办理竣工决算的固定资产，应当按照估计价值确定其成本，并计提折旧；待办理竣工决算后，再按实际成本调整原来的暂估价值，但不需要调整原已计提的折旧额。</w:t>
            </w:r>
          </w:p>
          <w:p>
            <w:pPr>
              <w:pStyle w:val="8"/>
              <w:spacing w:before="60" w:after="60"/>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cstheme="minorEastAsia"/>
                <w:b/>
                <w:bCs/>
                <w:sz w:val="36"/>
                <w:szCs w:val="36"/>
                <w:highlight w:val="yellow"/>
                <w:vertAlign w:val="baseline"/>
                <w:lang w:val="en-US" w:eastAsia="zh-CN"/>
              </w:rPr>
              <w:t>第二节课</w:t>
            </w:r>
          </w:p>
          <w:p>
            <w:pPr>
              <w:spacing w:after="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问题导入（</w:t>
            </w:r>
            <w:r>
              <w:rPr>
                <w:rFonts w:hint="eastAsia" w:asciiTheme="minorEastAsia" w:hAnsiTheme="minorEastAsia" w:cstheme="minorEastAsia"/>
                <w:b/>
                <w:bCs/>
                <w:kern w:val="2"/>
                <w:sz w:val="28"/>
                <w:szCs w:val="28"/>
                <w:highlight w:val="yellow"/>
                <w:vertAlign w:val="baseline"/>
                <w:lang w:val="en-US" w:eastAsia="zh-CN" w:bidi="ar-SA"/>
              </w:rPr>
              <w:t>3</w:t>
            </w:r>
            <w:r>
              <w:rPr>
                <w:rFonts w:hint="eastAsia" w:asciiTheme="minorEastAsia" w:hAnsiTheme="minorEastAsia" w:eastAsiaTheme="minorEastAsia" w:cstheme="minorEastAsia"/>
                <w:b/>
                <w:bCs/>
                <w:kern w:val="2"/>
                <w:sz w:val="28"/>
                <w:szCs w:val="28"/>
                <w:highlight w:val="yellow"/>
                <w:vertAlign w:val="baseline"/>
                <w:lang w:val="en-US" w:eastAsia="zh-CN" w:bidi="ar-SA"/>
              </w:rPr>
              <w:t xml:space="preserve"> min）：</w:t>
            </w:r>
            <w:r>
              <w:rPr>
                <w:rFonts w:hint="eastAsia" w:asciiTheme="minorEastAsia" w:hAnsiTheme="minorEastAsia" w:eastAsiaTheme="minorEastAsia" w:cstheme="minorEastAsia"/>
                <w:kern w:val="2"/>
                <w:sz w:val="28"/>
                <w:szCs w:val="28"/>
                <w:vertAlign w:val="baseline"/>
                <w:lang w:val="en-US" w:eastAsia="zh-CN" w:bidi="ar-SA"/>
              </w:rPr>
              <w:t>【教师】提出问题</w:t>
            </w:r>
          </w:p>
          <w:p>
            <w:pPr>
              <w:spacing w:after="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固定资产折旧在财务账户中怎样处理？</w:t>
            </w:r>
          </w:p>
          <w:p>
            <w:pPr>
              <w:spacing w:after="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传授新知（25 min）：</w:t>
            </w:r>
            <w:r>
              <w:rPr>
                <w:rFonts w:hint="eastAsia" w:asciiTheme="minorEastAsia" w:hAnsiTheme="minorEastAsia" w:eastAsiaTheme="minorEastAsia" w:cstheme="minorEastAsia"/>
                <w:kern w:val="2"/>
                <w:sz w:val="28"/>
                <w:szCs w:val="28"/>
                <w:vertAlign w:val="baseline"/>
                <w:lang w:val="en-US" w:eastAsia="zh-CN" w:bidi="ar-SA"/>
              </w:rPr>
              <w:t>四、账户设置</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1．“工程物资”账户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✈【教师】多媒体展示图片“工程物资”账户，并讲解新知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工程物资”账户属于资产类账户，用以核算企业为在建工程而准备的各种物资的实际成本。其借方登记企业购入工程物资的成本，贷方登记领用工程物资的成本。期末余额在借方，反映企业为在建工程准备的各种物资的成本。</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2．“在建工程”账户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✈【教师】多媒体展示图片“在建工程”账户，并讲解新知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在建工程”账户属于资产类账户，用以核算企业基建、更新改造等在建工程发生的支出。其借方登记企业各项在建工程的实际支出，贷方登记完工工程转出的成本。期末余额在借方，反映企业尚未达到预定可使用状态的在建工程的成本。</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3．“固定资产”账户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✈【教师】多媒体展示图片“固定资产”账户，并讲解新知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固定资产”账户属于资产类账户，用以核算企业固定资产的原价。其借方登记企业增加的固定资产原价，贷方登记企业减少的固定资产原价。期末余额在借方，反映企业期末固定资产的账面原价。企业应当设置“固定资产登记簿”和“固定资产卡片”，按固定资产类别、使用部门和每项固定资产进行明细核算。</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4．“累计折旧”账户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✈【教师】多媒体展示图片“累计折旧”账户，并讲解新知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累计折旧”账户属于资产类备抵账户，用以核算企业固定资产的累计折旧。其贷方登记企业计提的固定资产折旧，借方登记因减少固定资产而转出的累计折旧。期末余额在贷方，反映企业固定资产的累计折旧额。该账户可按固定资产的类别或项目设置明细账户，进行明细核算。</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五、账务处理</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（一）固定资产的取得</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1．购入固定资产</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（1）购入不需要安装的固定资产。</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企业购入不需要安装的固定资产，按应计入固定资产成本的金额，借记“固定资产”科目，根据可以抵扣的增值税进项税额，借记“应交税费—应交增值税（进项税额）”科目，按实际支付或应付的金额，贷记“银行存款”“应付账款”等科目。</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✈【教师】让学生思考“经典例题”【例5-6】</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A公司（增值税一般纳税人）购入一台不需要安装即可投入使用的设备，取得的增值税专用发票上注明的价款为100 000元，增值税税额为13 000元，另支付运杂费和包装费共计4 000元（均不考虑增值税），款项均以银行存款支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请根据题目编制会计分录。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✈【学生】聆听、理解、主动回答问题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✈【教师】与学生一起分析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借：固定资产</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（100 000+4 000）104 000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 xml:space="preserve">    应交税费—应交增值税（进项税额）</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13 000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贷：银行存款</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117 000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（2）购入需要安装的固定资产。</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企业购入需要安装的固定资产的支出及发生的安装费等，均应先通过“在建工程”科目核算，待安装完毕达到预定可使用状态时，由“在建工程”科目转入“固定资产”科目。</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✈【教师】让学生思考“经典例题”【例5-7】</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A公司（增值税一般纳税人）购入一台需要安装的设备，取得的增值税专用发票上注明的价款为10 000元，增值税税额为1 300元，支付安装费并取得增值税专用发票，注明安装费1 000元，增值税税额90元。款项全部以银行存款支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请根据题目编制会计分录。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✈【学生】聆听、理解、主动回答问题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✈【教师】与学生一起分析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（1）支付设备价款时：</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借：在建工程</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 xml:space="preserve">    应交税费—应交增值税（进项税额）     1 300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贷：银行存款</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11 300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（2）支付安装费时：</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借：在建工程</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 xml:space="preserve">    应交税费—应交增值税（进项税额）       90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贷：银行存款</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1 090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（3）设备安装完毕达到预定可使用状态时：</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借：固定资产</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11 000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贷：在建工程</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11 000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2．自建固定资产</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✈【教师】多媒体播放视频“自建固定资产的账务处理”（详见教材），并讲解新知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企业自行建造固定资产，主要有自营和出包两种方式，由于采用的建设方式不同，其会计处理也不同，这里主要介绍自营工程。</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自营工程，是指企业自行组织工程物资采购、自行组织施工人员施工的建筑工程和安装工程，主要通过“工程物资”和“在建工程”科目进行核算。</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购入工程物资时，按价款和运杂费等，借记“工程物资”科目，按增值税专用发票上注明的增值税进项税额，借记“应交税费—应交增值税（进项税额）”科目，按实际支付或应付的金额，贷记“银行存款”“应付账款”等科目。</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（2）领用工程物资时，借记“在建工程”科目，贷记“工程物资”科目。</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（3）在建工程领用本企业原材料时，借记“在建工程”科目，贷记“原材料”等科目。</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（4）在建工程领用本企业生产的商品时，借记“在建工程”科目，贷记“库存商品”科目。</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（5）自营工程发生的其他费用（如分配工程人员薪酬等），借记“在建工程”科目，贷记“银行存款”“应付职工薪酬”等科目。</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（6）自营工程达到预定可使用状态时，按其成本，借记“固定资产”科目，贷记“在建工程”科目。</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✈【教师】让学生思考“经典例题”【例5-8】</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2021年6月7日，甲公司（增值税一般纳税人）以自营方式建造一条生产线，以银行存款购入为工程准备的各种物资100 000元，增值税专用发票上注明的增值税税额为13 000元，全部用于工程建设；该工程应负担工程建筑人员薪酬80 000元；另以银行存款支付工程其他费用20 000元。7月8日，工程完工并达到预定可使用状态。</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请根据题目编制会计分录。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✈【学生】聆听、理解、主动回答问题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✈【教师】与学生一起分析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甲公司应编制如下会计分录：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（1）购入工程物资时：</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借：工程物资</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100 000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 xml:space="preserve">    应交税费—应交增值税（进项税额）            13 000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贷：银行存款</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113 000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（2）工程领用全部工程物资时：</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借：在建工程</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100 000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贷：工程物资</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100 000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（3）计提工程建筑人员薪酬时：</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借：在建工程</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80 000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贷：应付职工薪酬</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80 000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（4）支付工程其他费用时：</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借：在建工程</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20 000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贷：银行存款</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20 000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（5）工程完工达到预定可使用状态时：</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借：固定资产              （100 000+80 000+20 000）200 000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贷：在建工程</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200 000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（二）固定资产的折旧</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固定资产应当按月计提折旧，计提的折旧应当记入“累计折旧”科目，并根据固定资产的用途计入相关资产的成本或者当期损益。</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企业计提固定资产折旧时，借记“在建工程”“制造费用”“管理费用”“销售费用”“其他业务成本”等科目，贷记“累计折旧”科目。</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pStyle w:val="8"/>
              <w:spacing w:before="60" w:after="60"/>
              <w:ind w:firstLine="562"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课堂实训（15 min）：</w:t>
            </w:r>
            <w:r>
              <w:rPr>
                <w:rFonts w:hint="eastAsia" w:asciiTheme="minorEastAsia" w:hAnsiTheme="minorEastAsia" w:eastAsiaTheme="minorEastAsia" w:cstheme="minorEastAsia"/>
                <w:kern w:val="2"/>
                <w:sz w:val="28"/>
                <w:szCs w:val="28"/>
                <w:vertAlign w:val="baseline"/>
                <w:lang w:val="en-US" w:eastAsia="zh-CN" w:bidi="ar-SA"/>
              </w:rPr>
              <w:t>实训资料和要求：</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甲公司和乙公司均为增值税一般纳税人，发生的与固定资产有关的经济业务资料如下。</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2021年1月，甲公司自行建造一栋办公楼。以银行存款购入为工程准备的各种物资10 000 000元，增值税专用发票注明的增值税税额为1 300 000元，全部用于工程建设。领用本企业外购的原材料一批，入账成本为200 000元，相关的增值税进项税额为26 000元。领用本企业生产的产品一批，实际成本为500 000元。应计工程人员工资1 000 000元。支付的其他费用并取得增值税专用发票，注明安装费300 000元，增值税税额27 000元。2021年11月，工程完工并达到预定可使用状态。该办公楼采用年限平均法计提折旧，预计可使用20年，预计净残值为600 000元。</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（2）2021年7月，乙公司计提生产车间机器设备折旧费500 000元，车间厂房折旧费390 000元，销售部门固定资产折旧费600 000元，行政管理部门固定资产折旧费400 000元。</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要求：</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1．根据资料（1），编制甲公司自行建造固定资产和计提固定资产折旧相关的会计分录（填入表5-3-1中）。</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2．根据资料（2），编制乙公司计提固定资产折旧相关的会计分录（填入表5-3-1中）。</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……（表格详见教材）</w:t>
            </w:r>
          </w:p>
          <w:p>
            <w:pPr>
              <w:pStyle w:val="8"/>
              <w:spacing w:before="60" w:after="60"/>
              <w:ind w:firstLine="562"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课堂小结（3min）：</w:t>
            </w:r>
            <w:r>
              <w:rPr>
                <w:rFonts w:hint="eastAsia" w:asciiTheme="minorEastAsia" w:hAnsiTheme="minorEastAsia" w:eastAsiaTheme="minorEastAsia" w:cstheme="minorEastAsia"/>
                <w:kern w:val="2"/>
                <w:sz w:val="28"/>
                <w:szCs w:val="28"/>
                <w:vertAlign w:val="baseline"/>
                <w:lang w:val="en-US" w:eastAsia="zh-CN" w:bidi="ar-SA"/>
              </w:rPr>
              <w:t>【教师】简要总结本节课的要点</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kern w:val="2"/>
                <w:sz w:val="28"/>
                <w:szCs w:val="28"/>
                <w:vertAlign w:val="baseline"/>
                <w:lang w:val="en-US" w:eastAsia="zh-CN" w:bidi="ar-SA"/>
              </w:rPr>
              <w:t>本节课学习了固定资产的概念、特征和成本，固定资产折旧的影响因素、折旧范围和折旧方法，以及账户设置、账务处理等相关内容，希望大家在课下多加练习，巩固所学知识，能够正确核算企业的固定资产相关账务。</w:t>
            </w:r>
          </w:p>
        </w:tc>
        <w:tc>
          <w:tcPr>
            <w:tcW w:w="2276" w:type="dxa"/>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教学备注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6246" w:type="dxa"/>
            <w:gridSpan w:val="3"/>
            <w:vMerge w:val="continue"/>
            <w:vAlign w:val="center"/>
          </w:tcPr>
          <w:p>
            <w:pPr>
              <w:jc w:val="center"/>
              <w:rPr>
                <w:rFonts w:hint="eastAsia" w:asciiTheme="minorEastAsia" w:hAnsiTheme="minorEastAsia" w:eastAsiaTheme="minorEastAsia" w:cstheme="minorEastAsia"/>
                <w:sz w:val="28"/>
                <w:szCs w:val="28"/>
                <w:vertAlign w:val="baseline"/>
                <w:lang w:val="en-US" w:eastAsia="zh-CN"/>
              </w:rPr>
            </w:pPr>
          </w:p>
        </w:tc>
        <w:tc>
          <w:tcPr>
            <w:tcW w:w="2276" w:type="dxa"/>
            <w:vAlign w:val="center"/>
          </w:tcPr>
          <w:p>
            <w:pPr>
              <w:bidi w:val="0"/>
              <w:jc w:val="left"/>
              <w:rPr>
                <w:rFonts w:hint="eastAsia" w:asciiTheme="minorHAnsi" w:hAnsiTheme="minorHAnsi" w:eastAsiaTheme="minorEastAsia"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4"/>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教学后记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5" w:hRule="atLeast"/>
        </w:trPr>
        <w:tc>
          <w:tcPr>
            <w:tcW w:w="8522" w:type="dxa"/>
            <w:gridSpan w:val="4"/>
            <w:vAlign w:val="center"/>
          </w:tcPr>
          <w:p>
            <w:pPr>
              <w:jc w:val="both"/>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本节课效果不错，学生能够积极提问与老师进行交流。在课堂教学中，教师的作用是不能忽视的，教师应主动由“站在讲台上”，变为“走到学生中去”，使自己成为学生中的一员，与学生共同探讨学习中的问题，以交流、合作、商讨的口气与学生交流心得、体会，这样学生才会亲其师，信其道，遇到什么问题都愿意与老师讲。</w:t>
            </w:r>
          </w:p>
        </w:tc>
      </w:tr>
    </w:tbl>
    <w:p>
      <w:pPr>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drawing>
        <wp:anchor distT="0" distB="0" distL="114300" distR="114300" simplePos="0" relativeHeight="251660288" behindDoc="1" locked="0" layoutInCell="1" allowOverlap="1">
          <wp:simplePos x="0" y="0"/>
          <wp:positionH relativeFrom="page">
            <wp:posOffset>1080135</wp:posOffset>
          </wp:positionH>
          <wp:positionV relativeFrom="page">
            <wp:posOffset>9838055</wp:posOffset>
          </wp:positionV>
          <wp:extent cx="5400040" cy="130175"/>
          <wp:effectExtent l="0" t="0" r="1016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400040" cy="13017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anchor distT="0" distB="0" distL="114300" distR="114300" simplePos="0" relativeHeight="251659264" behindDoc="1" locked="0" layoutInCell="1" allowOverlap="1">
          <wp:simplePos x="0" y="0"/>
          <wp:positionH relativeFrom="page">
            <wp:posOffset>1076325</wp:posOffset>
          </wp:positionH>
          <wp:positionV relativeFrom="page">
            <wp:posOffset>467995</wp:posOffset>
          </wp:positionV>
          <wp:extent cx="5400040" cy="374650"/>
          <wp:effectExtent l="0" t="0" r="1016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400040" cy="3746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 w:name="KSO_WPS_MARK_KEY" w:val="5f04fe59-b89a-41da-afe8-9f99bcb3e41e"/>
  </w:docVars>
  <w:rsids>
    <w:rsidRoot w:val="00172A27"/>
    <w:rsid w:val="05336716"/>
    <w:rsid w:val="06BE655F"/>
    <w:rsid w:val="081B1F68"/>
    <w:rsid w:val="0C354C94"/>
    <w:rsid w:val="11BB3D41"/>
    <w:rsid w:val="14AA6054"/>
    <w:rsid w:val="1B5E227E"/>
    <w:rsid w:val="1EEB266E"/>
    <w:rsid w:val="21631677"/>
    <w:rsid w:val="23980634"/>
    <w:rsid w:val="27F70B05"/>
    <w:rsid w:val="2DF21528"/>
    <w:rsid w:val="3AB01F15"/>
    <w:rsid w:val="3FDC4940"/>
    <w:rsid w:val="4A570373"/>
    <w:rsid w:val="514E20B3"/>
    <w:rsid w:val="61BB2986"/>
    <w:rsid w:val="63FA5C44"/>
    <w:rsid w:val="684D54B1"/>
    <w:rsid w:val="6E4C6A96"/>
    <w:rsid w:val="78214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表文"/>
    <w:basedOn w:val="1"/>
    <w:qFormat/>
    <w:uiPriority w:val="0"/>
    <w:pPr>
      <w:spacing w:before="20" w:after="20" w:line="240" w:lineRule="auto"/>
    </w:pPr>
    <w:rPr>
      <w:rFonts w:ascii="Times New Roman" w:hAnsi="Times New Roman" w:eastAsia="微软雅黑"/>
      <w:sz w:val="18"/>
    </w:rPr>
  </w:style>
  <w:style w:type="paragraph" w:customStyle="1" w:styleId="9">
    <w:name w:val="目标说明和操作步骤"/>
    <w:basedOn w:val="1"/>
    <w:qFormat/>
    <w:uiPriority w:val="0"/>
    <w:pPr>
      <w:widowControl w:val="0"/>
      <w:spacing w:after="0" w:line="240" w:lineRule="auto"/>
      <w:ind w:firstLine="425"/>
    </w:pPr>
    <w:rPr>
      <w:rFonts w:ascii="Times New Roman" w:hAnsi="Times New Roman" w:eastAsia="楷体_GB2312"/>
      <w:kern w:val="10"/>
      <w:sz w:val="21"/>
      <w:szCs w:val="21"/>
    </w:rPr>
  </w:style>
  <w:style w:type="paragraph" w:customStyle="1" w:styleId="10">
    <w:name w:val="引导案例 内容"/>
    <w:basedOn w:val="1"/>
    <w:qFormat/>
    <w:uiPriority w:val="0"/>
    <w:pPr>
      <w:widowControl w:val="0"/>
      <w:tabs>
        <w:tab w:val="left" w:pos="7513"/>
      </w:tabs>
      <w:spacing w:after="0" w:line="264" w:lineRule="auto"/>
      <w:ind w:left="50" w:leftChars="50" w:right="50" w:rightChars="50" w:firstLine="425"/>
    </w:pPr>
    <w:rPr>
      <w:rFonts w:ascii="Times New Roman" w:hAnsi="Times New Roman" w:eastAsia="楷体_GB2312"/>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5494</Words>
  <Characters>5781</Characters>
  <Lines>0</Lines>
  <Paragraphs>0</Paragraphs>
  <TotalTime>4</TotalTime>
  <ScaleCrop>false</ScaleCrop>
  <LinksUpToDate>false</LinksUpToDate>
  <CharactersWithSpaces>6461</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2023-08-28T11:15:00Z</dcterms:created>
  <dc:creator>Administrator</dc:creator>
  <cp:lastModifiedBy>15420</cp:lastModifiedBy>
  <dcterms:modified xsi:type="dcterms:W3CDTF">2024-09-29T15:03:11Z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D202094F44C7489A916D684BB7AF89C5_13</vt:lpwstr>
  </property>
</Properties>
</file>