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1986"/>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第十五周2课时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第五</w:t>
            </w:r>
            <w:bookmarkStart w:id="0" w:name="_GoBack"/>
            <w:bookmarkEnd w:id="0"/>
            <w:r>
              <w:rPr>
                <w:rFonts w:hint="eastAsia" w:asciiTheme="minorEastAsia" w:hAnsiTheme="minorEastAsia" w:cstheme="minorEastAsia"/>
                <w:sz w:val="28"/>
                <w:szCs w:val="28"/>
                <w:vertAlign w:val="baseline"/>
                <w:lang w:val="en-US"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第</w:t>
            </w:r>
            <w:r>
              <w:rPr>
                <w:rFonts w:hint="eastAsia" w:asciiTheme="minorEastAsia" w:hAnsiTheme="minorEastAsia" w:cstheme="minorEastAsia"/>
                <w:sz w:val="28"/>
                <w:szCs w:val="28"/>
                <w:vertAlign w:val="baseline"/>
                <w:lang w:val="en-US" w:eastAsia="zh-CN"/>
              </w:rPr>
              <w:t>10</w:t>
            </w:r>
            <w:r>
              <w:rPr>
                <w:rFonts w:hint="default" w:asciiTheme="minorEastAsia" w:hAnsiTheme="minorEastAsia" w:eastAsiaTheme="minorEastAsia" w:cstheme="minorEastAsia"/>
                <w:sz w:val="28"/>
                <w:szCs w:val="28"/>
                <w:vertAlign w:val="baseline"/>
                <w:lang w:val="en-US" w:eastAsia="zh-CN"/>
              </w:rPr>
              <w:t>课   核算生产业务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（1）了解生产费用的构成</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（2）掌握生产业务的账户设置及账务处理</w:t>
            </w:r>
          </w:p>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通过学习让学生能够熟悉制造业企业的生产业务，培养爱岗敬业的工作作风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生产业务的账户设置及账务处理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运用借贷记账法正确核算企业的生产业务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案例分析法、问答法、讨论法、讲授法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第1节课：</w:t>
            </w:r>
            <w:r>
              <w:rPr>
                <w:rFonts w:hint="default" w:asciiTheme="minorEastAsia" w:hAnsiTheme="minorEastAsia" w:eastAsiaTheme="minorEastAsia" w:cstheme="minorEastAsia"/>
                <w:sz w:val="28"/>
                <w:szCs w:val="28"/>
                <w:vertAlign w:val="baseline"/>
                <w:lang w:val="en-US" w:eastAsia="zh-CN"/>
              </w:rPr>
              <w:t>考勤（2 min）→问题导入（5 min）→传授新知（28 min）→课堂讨论（10 min）</w:t>
            </w:r>
          </w:p>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第2节课：</w:t>
            </w:r>
            <w:r>
              <w:rPr>
                <w:rFonts w:hint="default" w:asciiTheme="minorEastAsia" w:hAnsiTheme="minorEastAsia" w:eastAsiaTheme="minorEastAsia" w:cstheme="minorEastAsia"/>
                <w:sz w:val="28"/>
                <w:szCs w:val="28"/>
                <w:vertAlign w:val="baseline"/>
                <w:lang w:val="en-US" w:eastAsia="zh-CN"/>
              </w:rPr>
              <w:t>问题导入（3 min）→传授新知（25 min）→课堂实训（12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【学生】按照老师要求签到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问题导入（</w:t>
            </w:r>
            <w:r>
              <w:rPr>
                <w:rFonts w:hint="eastAsia" w:asciiTheme="minorEastAsia" w:hAnsiTheme="minorEastAsia" w:cstheme="minorEastAsia"/>
                <w:b/>
                <w:bCs/>
                <w:sz w:val="28"/>
                <w:szCs w:val="28"/>
                <w:highlight w:val="yellow"/>
                <w:vertAlign w:val="baseline"/>
                <w:lang w:val="en-US" w:eastAsia="zh-CN"/>
              </w:rPr>
              <w:t>5</w:t>
            </w:r>
            <w:r>
              <w:rPr>
                <w:rFonts w:hint="eastAsia" w:asciiTheme="minorEastAsia" w:hAnsiTheme="minorEastAsia" w:eastAsiaTheme="minorEastAsia" w:cstheme="minorEastAsia"/>
                <w:b/>
                <w:bCs/>
                <w:sz w:val="28"/>
                <w:szCs w:val="28"/>
                <w:highlight w:val="yellow"/>
                <w:vertAlign w:val="baseline"/>
                <w:lang w:val="en-US" w:eastAsia="zh-CN"/>
              </w:rPr>
              <w:t xml:space="preserve">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【教师】提出问题</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企业的生产费用包含哪些内容？</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【学生】思考、举手回答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传授新知（28 min）</w:t>
            </w:r>
            <w:r>
              <w:rPr>
                <w:rFonts w:hint="eastAsia" w:asciiTheme="minorEastAsia" w:hAnsiTheme="minorEastAsia" w:cstheme="minorEastAsia"/>
                <w:b/>
                <w:bCs/>
                <w:kern w:val="2"/>
                <w:sz w:val="28"/>
                <w:szCs w:val="28"/>
                <w:highlight w:val="yellow"/>
                <w:vertAlign w:val="baseline"/>
                <w:lang w:val="en-US" w:eastAsia="zh-CN" w:bidi="ar-SA"/>
              </w:rPr>
              <w:t>：</w:t>
            </w:r>
            <w:r>
              <w:rPr>
                <w:rFonts w:hint="eastAsia" w:asciiTheme="minorEastAsia" w:hAnsiTheme="minorEastAsia" w:eastAsiaTheme="minorEastAsia" w:cstheme="minorEastAsia"/>
                <w:kern w:val="2"/>
                <w:sz w:val="28"/>
                <w:szCs w:val="28"/>
                <w:vertAlign w:val="baseline"/>
                <w:lang w:val="en-US" w:eastAsia="zh-CN" w:bidi="ar-SA"/>
              </w:rPr>
              <w:t>一、生产费用的构成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生产费用，是指与企业日常生产经营活动有关的费用，按其经济用途可分为直接材料、直接人工和制造费用。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举例说一说直接材料、直接人工和制造费用分别有哪些内容？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（1）直接材料，是指构成产品实体的原材料及有助于产品形成的主要材料和辅助材料，包括原材料、辅助材料、备品备件、外购半成品、包装物、低值易耗品等费用。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（2）直接人工，是指直接从事产品生产的工人的职工薪酬。职工薪酬，是指企业为获得职工提供的服务或解除劳动关系而给予的各种形式的报酬或补偿，具体包括：① 职工工资、奖金、津贴和补偿；② 职工福利费；③ 医疗保险费、养老保险费、失业保险费和工伤保险费等社会保险费；④ 住房公积金；⑤ 工会经费和职工教育经费；⑥ 非货币性福利；⑦ 因解除与职工的劳动关系给予的补偿；⑧ 其他与获得职工提供的服务相关的支出。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制造费用，是指企业为生产产品和提供劳务而发生的各项间接费用，包括物料消耗，车间管理人员的薪酬，车间管理用房屋和设备的折旧费、租赁费和保险费，车间管理用具摊销，车间管理用的照明费、水费、取暖费、劳动保护费、设计制图费、试验检验费、差旅费、办公费，以及季节性和修理期间的停工损失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二、账户设置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1．“生产成本”账户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✈【教师】多媒体展示图片“生产成本”账户，并讲解新知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生产成本”账户属于成本类账户，用以核算企业生产各种产品（产成品、自制半成品等）、自制材料、自制工具和自制设备等发生的各项生产成本。其借方登记应计入产品生产成本的各项费用，包括直接计入产品生产成本的直接材料费、直接人工费和其他直接支出，以及期末按照一定方法分配计入产品生产成本的制造费用；贷方登记完工转出的产品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2．“制造费用”账户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✈【教师】多媒体展示图片“制造费用”账户，并讲解新知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制造费用”账户属于成本类账户，用以核算企业生产车间（部门）为生产产品和提供劳务而发生的各项间接费用。其借方登记实际发生的各项制造费用，贷方登记期末按照一定标准分配转入“生产成本”账户借方的应计入产品成本的制造费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3．“库存商品”账户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✈【教师】多媒体展示图片“库存商品”账户，并讲解新知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库存商品”账户属于资产类账户，用以核算企业库存的各种商品的实际成本（或进价）或计划成本（或售价），包括库存产成品、外购商品、存放在门市部准备出售的商品、发出展览的商品及寄存在外的商品等。其借方登记验收入库的库存商品成本，贷方登记发出的库存商品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4．“应付职工薪酬”账户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✈【教师】多媒体展示图片“应付职工薪酬”账户，并讲解新知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“应付职工薪酬”账户属于负债类账户，用以核算企业根据有关规定应付给职工的各种薪酬。其贷方登记已分配计入有关成本费用项目的职工薪酬，借方登记实际发放的职工薪酬（包括扣还的款项等）。</w:t>
            </w:r>
          </w:p>
          <w:p>
            <w:pPr>
              <w:pStyle w:val="8"/>
              <w:spacing w:before="60" w:after="6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课堂讨论（10 min）：</w:t>
            </w:r>
            <w:r>
              <w:rPr>
                <w:rFonts w:hint="eastAsia" w:asciiTheme="minorEastAsia" w:hAnsiTheme="minorEastAsia" w:eastAsiaTheme="minorEastAsia" w:cstheme="minorEastAsia"/>
                <w:kern w:val="2"/>
                <w:sz w:val="28"/>
                <w:szCs w:val="28"/>
                <w:vertAlign w:val="baseline"/>
                <w:lang w:val="en-US" w:eastAsia="zh-CN" w:bidi="ar-SA"/>
              </w:rPr>
              <w:t>【教师】随机说一些生产费用的名称，然后让学生抢答，说出这些费用分别属于哪一类生产费用</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【教师】公布答案、评价学生的表现</w:t>
            </w:r>
          </w:p>
          <w:p>
            <w:pPr>
              <w:pStyle w:val="8"/>
              <w:spacing w:before="60" w:after="6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w:t>
            </w:r>
            <w:r>
              <w:rPr>
                <w:rFonts w:hint="eastAsia" w:asciiTheme="minorEastAsia" w:hAnsiTheme="minorEastAsia" w:cstheme="minorEastAsia"/>
                <w:b/>
                <w:bCs/>
                <w:kern w:val="2"/>
                <w:sz w:val="28"/>
                <w:szCs w:val="28"/>
                <w:highlight w:val="yellow"/>
                <w:vertAlign w:val="baseline"/>
                <w:lang w:val="en-US" w:eastAsia="zh-CN" w:bidi="ar-SA"/>
              </w:rPr>
              <w:t>3</w:t>
            </w:r>
            <w:r>
              <w:rPr>
                <w:rFonts w:hint="eastAsia" w:asciiTheme="minorEastAsia" w:hAnsiTheme="minorEastAsia" w:eastAsiaTheme="minorEastAsia" w:cstheme="minorEastAsia"/>
                <w:b/>
                <w:bCs/>
                <w:kern w:val="2"/>
                <w:sz w:val="28"/>
                <w:szCs w:val="28"/>
                <w:highlight w:val="yellow"/>
                <w:vertAlign w:val="baseline"/>
                <w:lang w:val="en-US" w:eastAsia="zh-CN" w:bidi="ar-SA"/>
              </w:rPr>
              <w:t xml:space="preserve">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材料费用在财务账户中怎样处理？</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传授新知（25 min）：</w:t>
            </w:r>
            <w:r>
              <w:rPr>
                <w:rFonts w:hint="eastAsia" w:asciiTheme="minorEastAsia" w:hAnsiTheme="minorEastAsia" w:eastAsiaTheme="minorEastAsia" w:cstheme="minorEastAsia"/>
                <w:kern w:val="2"/>
                <w:sz w:val="28"/>
                <w:szCs w:val="28"/>
                <w:vertAlign w:val="baseline"/>
                <w:lang w:val="en-US" w:eastAsia="zh-CN" w:bidi="ar-SA"/>
              </w:rPr>
              <w:t>三、账务处理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（一）材料费用的归集与分配</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在确定材料费用时，应根据领料凭证区分车间、部门和不同用途后，按照发出材料的成本借记“生产成本”“制造费用”“管理费用”等科目，贷记“原材料”等科目。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对于直接用于某种产品生产的材料费用，应直接计入该产品生产成本明细账中的直接材料费用项目；对于由多种产品共同耗用、应由这些产品共同负担的材料费用，应选择适当的标准在这些产品之间进行分配，按分担的金额计入相应的成本计算对象（生产产品的品种、类别等）；对于为提供生产条件等间接消耗的各种材料费用，应先通过“制造费用”科目进行归集，期末再同其他间接费用一起按照一定的标准分配计入有关产品成本。对于行政管理部门和销售部门领用的材料费用，应分别记入“管理费用”和“销售费用”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✈【教师】让学生思考“经典例题”【例5-18】</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7月31日，A公司领用材料汇总如下：生产甲产品直接领用40 000元，生产乙产品直接领用30 000元；生产甲、乙产品共同领用80 000元。车间一般耗用3 200元，行政管理部门耗用4 800元。甲、乙产品共同耗用的材料费用按产品数量进行分配。本月共生产甲产品200件、乙产品600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请根据题目编制会计分录。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材料费用分配率=80 000÷（200+600）=100元/件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甲产品分配负担的材料费用=200×100=20 000元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乙产品分配负担的材料费用=600×100=60 000元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借：生产成本——甲产品</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（40 000+20 000）60 000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——乙产品</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（30 000+60 000）90 000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制造费用</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3 200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管理费用</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4 800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贷：原材料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158 000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（二）职工薪酬的归集与分配</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对于职工薪酬，企业应在职工为其提供服务的会计期间，按实际发生额确认为负债，并计入当期损益或相关资产成本。企业应当根据职工提供服务的受益对象，分别按下列情况处理。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（1）应由生产产品、提供劳务负担的职工薪酬，计入产品成本或劳务成本。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（2）应由在建工程、无形资产负担的职工薪酬，计入建造固定资产或无形资产的成本。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（3）企业行政管理部门人员和专设销售机构销售人员的职工薪酬均属于期间费用，应分别借记“管理费用”“销售费用”等科目，贷记“应付职工薪酬”科目。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✈【教师】让学生思考“经典例题”【例5-19】</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7月31日，A公司工资汇总如下：生产甲产品工人工资70 000元，生产乙产品工人工资40 000元，共同生产甲、乙产品工人工资90 000元。车间管理人员工资26 000元，行政管理部门人员工资29 000元，专设销售机构人员工资34 000元。共同生产甲、乙产品生产工人工资按产品的生产工时进行分配，甲、乙产品生产工时分别为1 800小时和1 200小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请根据题目编制会计分录。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工资费用分配率= 90 000÷（1 800+1 200）=30元/小时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甲产品分配负担的工资费用=1 800×30=54 000元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乙产品分配负担的工资费用=1 200×30=36 000元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借：生产成本——甲产品</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（70 000+54 000）124 000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——乙产品</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（40 000+36 000）76 000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制造费用</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26 000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管理费用</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29 000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销售费用</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34 000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贷：应付职工薪酬—工资</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289 000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（三）制造费用的归集与分配</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企业发生的制造费用，应当按照合理的分配标准按月分配计入各成本核算对象的生产成本。企业可以采取的分配标准包括机器工时、人工工时和计划分配率等。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企业发生制造费用时，借记“制造费用”科目，贷记“累计折旧”“银行存款”“应付职工薪酬”等科目；结转或分摊时，借记“生产成本”等科目，贷记“制造费用”科目。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✈【教师】让学生思考“经典例题”【例5-20】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2021年7月31日，A公司归集本月制造费用，共发生制造费用60 000元。按产品的生产工时进行分配，甲、乙产品生产工时分别为1 800小时和1 200小时。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请根据题目编制会计分录。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制造费用分配率= 60 000÷（1 800+1 200）=20元/小时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甲产品分配负担的制造费用=1 800×20=36 000元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乙产品分配负担的制造费用=1 200×20=24 000元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借：生产成本——甲产品</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36 000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——乙产品</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24 000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贷：制造费用</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60 000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（四）完工产品生产成本的计算与结转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产品生产成本计算，是指将企业生产过程中为制造产品所发生的各种费用按照成本计算对象进行归集与分配，以便计算各种产品的总成本和单位成本。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企业应设置产品生产成本明细账，用来归集应计入各种产品的生产费用。通过对材料费用、职工薪酬和制造费用的归集与分配，企业各月生产产品所发生的生产费用已计入“生产成本”科目中。</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如果月末某种产品全部完工，该种产品生产成本明细账所归集的费用总额，就是该种完工产品的总成本，用完工产品总成本除以该种产品的完工总产量即可计算出该种产品的单位成本；如果月末某种产品全部未完工，该种产品生产成本明细账所归集的费用总额就是该种产品在产品的总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如果月末某种产品一部分完工，一部分未完工，这时归集在产品成本明细账中的费用总额还要采取适当的分配方法在完工产品和在产品之间进行分配，然后才能计算出完工产品的总成本和单位成本。完工产品成本的基本计算公式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完工产品成本=期初在产品成本+本期发生的生产费用−期末在产品成本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当产品生产完成并验收入库时，借记“库存商品”科目，贷记“生产成本”科目。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✈【教师】让学生思考“经典例题”【例5-21】</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承【例5-18】至【例5-20】，假设2021年7月1日，A公司甲产品和乙产品均无月初在产品。7月31日，本月生产的甲产品200件全部完工入库；本月生产的乙产品完工400件，200件没有完工，月末在产品成本为50 000元，其中，直接材料费用24 000元、直接人工费用20 000元、制造费用6 000元。甲、乙产品成本计算单如表5-5-1和表5-5-2所示（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请根据题目编制会计分录。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A公司根据完工产品入库单等资料，编制如下会计分录：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借：库存商品——甲产品</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220 000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——乙产品            140 000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贷：生产成本——甲产品</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220 000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——乙产品</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140 000</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课堂实训（15 min）：</w:t>
            </w:r>
            <w:r>
              <w:rPr>
                <w:rFonts w:hint="eastAsia" w:asciiTheme="minorEastAsia" w:hAnsiTheme="minorEastAsia" w:eastAsiaTheme="minorEastAsia" w:cstheme="minorEastAsia"/>
                <w:kern w:val="2"/>
                <w:sz w:val="28"/>
                <w:szCs w:val="28"/>
                <w:vertAlign w:val="baseline"/>
                <w:lang w:val="en-US" w:eastAsia="zh-CN" w:bidi="ar-SA"/>
              </w:rPr>
              <w:t>实训资料和要求：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A公司只生产甲产品，制造费用单独核算。2021年7月初无在产品，7月份发生的部分经济业务资料如下。</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（1）本月耗用材料3 060 000元，其中甲产品耗用3 000 000元、车间机物料消耗50 000元、行政管理部门耗用10 000元。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（2）月末分配本月职工薪酬共计1 950 000元，其中车间生产工人1 000 000元、车间管理人员250 000元、行政管理部门人员300 000元、销售部门人员400 000元。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要求：根据上述资料，逐项编制A公司与生产业务相关的会计分录（填入教材表5-5-3中）。</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课堂小结（3min）：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kern w:val="2"/>
                <w:sz w:val="28"/>
                <w:szCs w:val="28"/>
                <w:vertAlign w:val="baseline"/>
                <w:lang w:val="en-US" w:eastAsia="zh-CN" w:bidi="ar-SA"/>
              </w:rPr>
              <w:t>本节课学习了生产费用的构成、生产业务的账户设置及账务处理等相关内容，希望大家在课下多加练习，巩固所学知识，能够正确编制生产业务会计分录。</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5" w:hRule="atLeast"/>
        </w:trPr>
        <w:tc>
          <w:tcPr>
            <w:tcW w:w="8522" w:type="dxa"/>
            <w:gridSpan w:val="4"/>
            <w:vAlign w:val="center"/>
          </w:tcPr>
          <w:p>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本节课中学生能在互动环节深入沟通，效果不错。教学中，教师应多与学生进行深入的沟通和交流，及时发现学生学习中存在的问题并予以纠正，帮助其掌握科学有效的学习方法，提高学习的质量和效率。</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e1919476-22de-4796-8c7c-97a8fa866418"/>
  </w:docVars>
  <w:rsids>
    <w:rsidRoot w:val="00172A27"/>
    <w:rsid w:val="02F55E0B"/>
    <w:rsid w:val="035E7A94"/>
    <w:rsid w:val="05336716"/>
    <w:rsid w:val="06BE655F"/>
    <w:rsid w:val="0C354C94"/>
    <w:rsid w:val="14AA6054"/>
    <w:rsid w:val="1AE148A9"/>
    <w:rsid w:val="1B5E227E"/>
    <w:rsid w:val="21631677"/>
    <w:rsid w:val="23980634"/>
    <w:rsid w:val="2DF21528"/>
    <w:rsid w:val="3AB01F15"/>
    <w:rsid w:val="3FD1252B"/>
    <w:rsid w:val="3FDC4940"/>
    <w:rsid w:val="46AB6472"/>
    <w:rsid w:val="495D4B69"/>
    <w:rsid w:val="4A570373"/>
    <w:rsid w:val="514E20B3"/>
    <w:rsid w:val="61BB2986"/>
    <w:rsid w:val="63FA5C44"/>
    <w:rsid w:val="684D54B1"/>
    <w:rsid w:val="6A3D74EC"/>
    <w:rsid w:val="6E4C6A96"/>
    <w:rsid w:val="782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 w:type="paragraph" w:customStyle="1" w:styleId="10">
    <w:name w:val="引导案例 内容"/>
    <w:basedOn w:val="1"/>
    <w:qFormat/>
    <w:uiPriority w:val="0"/>
    <w:pPr>
      <w:widowControl w:val="0"/>
      <w:tabs>
        <w:tab w:val="left" w:pos="7513"/>
      </w:tabs>
      <w:spacing w:after="0" w:line="264" w:lineRule="auto"/>
      <w:ind w:left="50" w:leftChars="50" w:right="50" w:rightChars="50" w:firstLine="425"/>
    </w:pPr>
    <w:rPr>
      <w:rFonts w:ascii="Times New Roman" w:hAnsi="Times New Roman" w:eastAsia="楷体_GB2312"/>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4465</Words>
  <Characters>4837</Characters>
  <Lines>0</Lines>
  <Paragraphs>0</Paragraphs>
  <TotalTime>5</TotalTime>
  <ScaleCrop>false</ScaleCrop>
  <LinksUpToDate>false</LinksUpToDate>
  <CharactersWithSpaces>5417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2024-09-29T15:03:33Z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A1199C3C67CF4B3DACBE92ACB13EB26A_13</vt:lpwstr>
  </property>
</Properties>
</file>